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rPr>
          <w:rFonts w:ascii="宋体" w:hAnsi="宋体"/>
        </w:rPr>
      </w:pPr>
    </w:p>
    <w:p>
      <w:pPr>
        <w:tabs>
          <w:tab w:val="left" w:pos="2820"/>
        </w:tabs>
        <w:spacing w:line="360" w:lineRule="auto"/>
        <w:ind w:firstLine="1800"/>
        <w:rPr>
          <w:rFonts w:ascii="宋体" w:hAnsi="宋体"/>
          <w:bCs/>
          <w:sz w:val="36"/>
          <w:szCs w:val="36"/>
        </w:rPr>
      </w:pPr>
    </w:p>
    <w:p>
      <w:pPr>
        <w:spacing w:line="360" w:lineRule="auto"/>
        <w:jc w:val="center"/>
        <w:rPr>
          <w:rFonts w:hint="eastAsia" w:ascii="宋体" w:hAnsi="宋体"/>
          <w:b/>
          <w:sz w:val="44"/>
          <w:szCs w:val="36"/>
        </w:rPr>
      </w:pPr>
      <w:r>
        <w:rPr>
          <w:rFonts w:hint="eastAsia" w:ascii="宋体" w:hAnsi="宋体"/>
          <w:b/>
          <w:sz w:val="44"/>
          <w:szCs w:val="36"/>
        </w:rPr>
        <w:t>北京纳米能源与系统研究所</w:t>
      </w:r>
    </w:p>
    <w:p>
      <w:pPr>
        <w:spacing w:line="360" w:lineRule="auto"/>
        <w:jc w:val="center"/>
        <w:rPr>
          <w:rFonts w:ascii="宋体" w:hAnsi="宋体"/>
          <w:b/>
          <w:sz w:val="36"/>
          <w:szCs w:val="36"/>
        </w:rPr>
      </w:pPr>
      <w:r>
        <w:rPr>
          <w:rFonts w:hint="eastAsia" w:ascii="宋体" w:hAnsi="宋体"/>
          <w:b/>
          <w:sz w:val="44"/>
          <w:szCs w:val="36"/>
        </w:rPr>
        <w:t>2024年空调系统维护保养项目</w:t>
      </w:r>
    </w:p>
    <w:p>
      <w:pPr>
        <w:spacing w:line="360" w:lineRule="auto"/>
        <w:ind w:firstLine="1205"/>
        <w:jc w:val="center"/>
        <w:rPr>
          <w:rFonts w:ascii="宋体" w:hAnsi="宋体"/>
          <w:b/>
          <w:szCs w:val="21"/>
        </w:rPr>
      </w:pPr>
    </w:p>
    <w:p>
      <w:pPr>
        <w:spacing w:line="360" w:lineRule="auto"/>
        <w:ind w:firstLine="1205"/>
        <w:jc w:val="center"/>
        <w:rPr>
          <w:rFonts w:ascii="宋体" w:hAnsi="宋体"/>
          <w:b/>
          <w:szCs w:val="21"/>
        </w:rPr>
      </w:pPr>
    </w:p>
    <w:p>
      <w:pPr>
        <w:spacing w:line="360" w:lineRule="auto"/>
        <w:ind w:firstLine="1205"/>
        <w:jc w:val="center"/>
        <w:rPr>
          <w:rFonts w:ascii="宋体" w:hAnsi="宋体"/>
          <w:b/>
          <w:szCs w:val="21"/>
        </w:rPr>
      </w:pPr>
    </w:p>
    <w:p>
      <w:pPr>
        <w:spacing w:line="360" w:lineRule="auto"/>
        <w:ind w:firstLine="1205"/>
        <w:jc w:val="center"/>
        <w:rPr>
          <w:rFonts w:ascii="宋体" w:hAnsi="宋体"/>
          <w:b/>
          <w:szCs w:val="21"/>
        </w:rPr>
      </w:pPr>
    </w:p>
    <w:p>
      <w:pPr>
        <w:spacing w:line="360" w:lineRule="auto"/>
        <w:ind w:firstLine="1205"/>
        <w:jc w:val="center"/>
        <w:rPr>
          <w:rFonts w:ascii="宋体" w:hAnsi="宋体"/>
          <w:b/>
          <w:szCs w:val="21"/>
        </w:rPr>
      </w:pPr>
    </w:p>
    <w:p>
      <w:pPr>
        <w:spacing w:line="360" w:lineRule="auto"/>
        <w:ind w:firstLine="1205"/>
        <w:jc w:val="center"/>
        <w:rPr>
          <w:rFonts w:ascii="宋体" w:hAnsi="宋体"/>
          <w:b/>
          <w:szCs w:val="21"/>
        </w:rPr>
      </w:pPr>
    </w:p>
    <w:p>
      <w:pPr>
        <w:spacing w:line="360" w:lineRule="auto"/>
        <w:ind w:firstLine="1205"/>
        <w:jc w:val="center"/>
        <w:rPr>
          <w:rFonts w:ascii="宋体" w:hAnsi="宋体"/>
          <w:b/>
          <w:szCs w:val="21"/>
        </w:rPr>
      </w:pPr>
    </w:p>
    <w:p>
      <w:pPr>
        <w:spacing w:line="360" w:lineRule="auto"/>
        <w:jc w:val="center"/>
        <w:rPr>
          <w:rFonts w:ascii="宋体" w:hAnsi="宋体"/>
          <w:b/>
          <w:sz w:val="40"/>
          <w:szCs w:val="36"/>
        </w:rPr>
      </w:pPr>
      <w:r>
        <w:rPr>
          <w:rFonts w:hint="eastAsia" w:ascii="宋体" w:hAnsi="宋体"/>
          <w:b/>
          <w:sz w:val="40"/>
          <w:szCs w:val="36"/>
        </w:rPr>
        <w:t>竞争性磋商文件</w:t>
      </w:r>
    </w:p>
    <w:p>
      <w:pPr>
        <w:spacing w:line="360" w:lineRule="auto"/>
        <w:ind w:firstLine="2008"/>
        <w:jc w:val="center"/>
        <w:rPr>
          <w:rFonts w:ascii="宋体" w:hAnsi="宋体"/>
          <w:b/>
          <w:sz w:val="40"/>
          <w:szCs w:val="36"/>
        </w:rPr>
      </w:pPr>
    </w:p>
    <w:p>
      <w:pPr>
        <w:spacing w:line="360" w:lineRule="auto"/>
        <w:ind w:firstLine="1606"/>
        <w:jc w:val="center"/>
        <w:rPr>
          <w:rFonts w:ascii="宋体" w:hAnsi="宋体"/>
          <w:b/>
          <w:sz w:val="32"/>
          <w:szCs w:val="32"/>
        </w:rPr>
      </w:pPr>
      <w:r>
        <w:rPr>
          <w:rFonts w:hint="eastAsia" w:ascii="宋体" w:hAnsi="宋体"/>
          <w:b/>
          <w:sz w:val="32"/>
          <w:szCs w:val="32"/>
        </w:rPr>
        <w:t xml:space="preserve"> </w:t>
      </w:r>
    </w:p>
    <w:p>
      <w:pPr>
        <w:spacing w:line="360" w:lineRule="auto"/>
        <w:ind w:firstLine="2600"/>
        <w:jc w:val="center"/>
        <w:rPr>
          <w:rFonts w:ascii="宋体" w:hAnsi="宋体"/>
          <w:sz w:val="52"/>
          <w:szCs w:val="52"/>
        </w:rPr>
      </w:pPr>
    </w:p>
    <w:p>
      <w:pPr>
        <w:spacing w:line="360" w:lineRule="auto"/>
        <w:ind w:firstLine="2600"/>
        <w:jc w:val="center"/>
        <w:rPr>
          <w:rFonts w:ascii="宋体" w:hAnsi="宋体"/>
          <w:sz w:val="52"/>
          <w:szCs w:val="52"/>
        </w:rPr>
      </w:pPr>
    </w:p>
    <w:p>
      <w:pPr>
        <w:spacing w:line="360" w:lineRule="auto"/>
        <w:ind w:firstLine="2600"/>
        <w:jc w:val="center"/>
        <w:rPr>
          <w:rFonts w:ascii="宋体" w:hAnsi="宋体"/>
          <w:sz w:val="52"/>
          <w:szCs w:val="52"/>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b/>
          <w:sz w:val="32"/>
          <w:szCs w:val="32"/>
        </w:rPr>
      </w:pPr>
      <w:r>
        <w:rPr>
          <w:rFonts w:hint="eastAsia" w:ascii="宋体" w:hAnsi="宋体"/>
          <w:b/>
          <w:sz w:val="32"/>
          <w:szCs w:val="32"/>
        </w:rPr>
        <w:t>采购人：北京纳米能源与系统研究所</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b/>
          <w:sz w:val="36"/>
          <w:szCs w:val="36"/>
        </w:rPr>
      </w:pPr>
      <w:r>
        <w:rPr>
          <w:rFonts w:hint="eastAsia" w:ascii="宋体" w:hAnsi="宋体"/>
          <w:b/>
          <w:sz w:val="36"/>
          <w:szCs w:val="36"/>
        </w:rPr>
        <w:t>日  期：2024年4月</w:t>
      </w:r>
    </w:p>
    <w:p>
      <w:pPr>
        <w:keepNext w:val="0"/>
        <w:keepLines w:val="0"/>
        <w:pageBreakBefore w:val="0"/>
        <w:widowControl/>
        <w:kinsoku/>
        <w:wordWrap/>
        <w:overflowPunct/>
        <w:topLinePunct w:val="0"/>
        <w:autoSpaceDE/>
        <w:autoSpaceDN/>
        <w:bidi w:val="0"/>
        <w:adjustRightInd/>
        <w:snapToGrid/>
        <w:spacing w:line="360" w:lineRule="auto"/>
        <w:ind w:firstLine="723" w:firstLineChars="200"/>
        <w:jc w:val="both"/>
        <w:textAlignment w:val="auto"/>
        <w:rPr>
          <w:rFonts w:ascii="宋体" w:hAnsi="宋体"/>
          <w:b/>
          <w:sz w:val="36"/>
          <w:szCs w:val="36"/>
        </w:rPr>
        <w:sectPr>
          <w:footerReference r:id="rId3" w:type="default"/>
          <w:pgSz w:w="11906" w:h="16838"/>
          <w:pgMar w:top="1418" w:right="1418" w:bottom="1418" w:left="1418" w:header="851" w:footer="992" w:gutter="0"/>
          <w:cols w:space="720" w:num="1"/>
        </w:sectPr>
      </w:pPr>
    </w:p>
    <w:p>
      <w:pPr>
        <w:ind w:firstLine="1200"/>
      </w:pPr>
    </w:p>
    <w:p>
      <w:pPr>
        <w:spacing w:line="480" w:lineRule="auto"/>
        <w:ind w:firstLine="2209"/>
        <w:jc w:val="center"/>
        <w:rPr>
          <w:rFonts w:ascii="宋体" w:hAnsi="宋体"/>
          <w:b/>
          <w:sz w:val="44"/>
          <w:szCs w:val="21"/>
        </w:rPr>
      </w:pPr>
      <w:r>
        <w:rPr>
          <w:rFonts w:hint="eastAsia" w:ascii="宋体" w:hAnsi="宋体"/>
          <w:b/>
          <w:sz w:val="44"/>
          <w:szCs w:val="21"/>
        </w:rPr>
        <w:t>目   录</w:t>
      </w:r>
    </w:p>
    <w:p>
      <w:pPr>
        <w:pStyle w:val="35"/>
        <w:rPr>
          <w:b/>
          <w:bCs/>
          <w:sz w:val="32"/>
          <w:szCs w:val="22"/>
        </w:rPr>
      </w:pPr>
      <w:bookmarkStart w:id="0" w:name="_Toc500278619"/>
      <w:r>
        <w:rPr>
          <w:rFonts w:hint="eastAsia"/>
          <w:sz w:val="24"/>
        </w:rPr>
        <w:fldChar w:fldCharType="begin"/>
      </w:r>
      <w:r>
        <w:rPr>
          <w:rFonts w:hint="eastAsia"/>
          <w:bCs/>
          <w:sz w:val="40"/>
          <w:lang w:val="zh-CN"/>
        </w:rPr>
        <w:instrText xml:space="preserve"> TOC \o "1-1" \h \z \u </w:instrText>
      </w:r>
      <w:r>
        <w:rPr>
          <w:rFonts w:hint="eastAsia"/>
          <w:sz w:val="24"/>
        </w:rPr>
        <w:fldChar w:fldCharType="separate"/>
      </w:r>
      <w:r>
        <w:fldChar w:fldCharType="begin"/>
      </w:r>
      <w:r>
        <w:instrText xml:space="preserve"> HYPERLINK "file:///F:\\李红伟\\5工程项目\\1%20工程项目\\2-1%20空调制冷系统维保项目（2022）\\3%20招标文件\\【竞争性谈判文件】-空调制冷系统维保1.doc" \l "_Toc42114259" </w:instrText>
      </w:r>
      <w:r>
        <w:fldChar w:fldCharType="separate"/>
      </w:r>
      <w:r>
        <w:rPr>
          <w:rStyle w:val="46"/>
          <w:rFonts w:hint="eastAsia" w:ascii="Times New Roman" w:hAnsi="Times New Roman"/>
        </w:rPr>
        <w:t>第一部分</w:t>
      </w:r>
      <w:r>
        <w:rPr>
          <w:rStyle w:val="46"/>
          <w:rFonts w:hint="eastAsia"/>
        </w:rPr>
        <w:t xml:space="preserve"> </w:t>
      </w:r>
      <w:r>
        <w:rPr>
          <w:rStyle w:val="46"/>
          <w:rFonts w:hint="eastAsia" w:ascii="Times New Roman" w:hAnsi="Times New Roman"/>
        </w:rPr>
        <w:t>竞争性磋商公告</w:t>
      </w:r>
      <w:r>
        <w:rPr>
          <w:rStyle w:val="46"/>
          <w:rFonts w:hint="eastAsia"/>
        </w:rPr>
        <w:tab/>
      </w:r>
      <w:r>
        <w:rPr>
          <w:rStyle w:val="46"/>
          <w:rFonts w:hint="eastAsia"/>
        </w:rPr>
        <w:fldChar w:fldCharType="begin"/>
      </w:r>
      <w:r>
        <w:rPr>
          <w:rStyle w:val="46"/>
          <w:rFonts w:hint="eastAsia"/>
        </w:rPr>
        <w:instrText xml:space="preserve"> PAGEREF _Toc42114259 \h </w:instrText>
      </w:r>
      <w:r>
        <w:rPr>
          <w:rStyle w:val="46"/>
          <w:rFonts w:hint="eastAsia"/>
        </w:rPr>
        <w:fldChar w:fldCharType="separate"/>
      </w:r>
      <w:r>
        <w:rPr>
          <w:rStyle w:val="46"/>
        </w:rPr>
        <w:t>3</w:t>
      </w:r>
      <w:r>
        <w:rPr>
          <w:rStyle w:val="46"/>
          <w:rFonts w:hint="eastAsia"/>
        </w:rPr>
        <w:fldChar w:fldCharType="end"/>
      </w:r>
      <w:r>
        <w:rPr>
          <w:rStyle w:val="46"/>
          <w:rFonts w:hint="eastAsia"/>
        </w:rPr>
        <w:fldChar w:fldCharType="end"/>
      </w:r>
    </w:p>
    <w:p>
      <w:pPr>
        <w:pStyle w:val="35"/>
        <w:rPr>
          <w:rStyle w:val="46"/>
        </w:rPr>
      </w:pPr>
      <w:r>
        <w:fldChar w:fldCharType="begin"/>
      </w:r>
      <w:r>
        <w:instrText xml:space="preserve"> HYPERLINK "file:///F:\\李红伟\\5工程项目\\1%20工程项目\\2-1%20空调制冷系统维保项目（2022）\\3%20招标文件\\【竞争性谈判文件】-空调制冷系统维保1.doc" \l "_Toc42114260" </w:instrText>
      </w:r>
      <w:r>
        <w:fldChar w:fldCharType="separate"/>
      </w:r>
      <w:r>
        <w:rPr>
          <w:rStyle w:val="46"/>
          <w:rFonts w:hint="eastAsia" w:ascii="Times New Roman" w:hAnsi="Times New Roman"/>
        </w:rPr>
        <w:t>第二部分</w:t>
      </w:r>
      <w:r>
        <w:rPr>
          <w:rStyle w:val="46"/>
          <w:rFonts w:hint="eastAsia"/>
        </w:rPr>
        <w:t xml:space="preserve"> </w:t>
      </w:r>
      <w:r>
        <w:rPr>
          <w:rStyle w:val="46"/>
          <w:rFonts w:hint="eastAsia" w:ascii="Times New Roman" w:hAnsi="Times New Roman"/>
        </w:rPr>
        <w:t>供应商须知</w:t>
      </w:r>
      <w:r>
        <w:rPr>
          <w:rStyle w:val="46"/>
          <w:rFonts w:hint="eastAsia"/>
        </w:rPr>
        <w:tab/>
      </w:r>
      <w:r>
        <w:rPr>
          <w:rStyle w:val="46"/>
          <w:rFonts w:hint="eastAsia"/>
        </w:rPr>
        <w:fldChar w:fldCharType="begin"/>
      </w:r>
      <w:r>
        <w:rPr>
          <w:rStyle w:val="46"/>
          <w:rFonts w:hint="eastAsia"/>
        </w:rPr>
        <w:instrText xml:space="preserve"> PAGEREF _Toc42114260 \h </w:instrText>
      </w:r>
      <w:r>
        <w:rPr>
          <w:rStyle w:val="46"/>
          <w:rFonts w:hint="eastAsia"/>
        </w:rPr>
        <w:fldChar w:fldCharType="separate"/>
      </w:r>
      <w:r>
        <w:rPr>
          <w:rStyle w:val="46"/>
        </w:rPr>
        <w:t>5</w:t>
      </w:r>
      <w:r>
        <w:rPr>
          <w:rStyle w:val="46"/>
          <w:rFonts w:hint="eastAsia"/>
        </w:rPr>
        <w:fldChar w:fldCharType="end"/>
      </w:r>
      <w:r>
        <w:rPr>
          <w:rStyle w:val="46"/>
          <w:rFonts w:hint="eastAsia"/>
        </w:rPr>
        <w:fldChar w:fldCharType="end"/>
      </w:r>
    </w:p>
    <w:p>
      <w:pPr>
        <w:pStyle w:val="35"/>
      </w:pPr>
      <w:r>
        <w:rPr>
          <w:rFonts w:hint="eastAsia"/>
        </w:rPr>
        <w:t>第三部分 综合评分标准</w:t>
      </w:r>
      <w:r>
        <w:rPr>
          <w:rFonts w:hint="eastAsia"/>
        </w:rPr>
        <w:tab/>
      </w:r>
      <w:r>
        <w:rPr>
          <w:rFonts w:hint="eastAsia"/>
        </w:rPr>
        <w:t>18</w:t>
      </w:r>
    </w:p>
    <w:p>
      <w:pPr>
        <w:pStyle w:val="35"/>
        <w:rPr>
          <w:b/>
          <w:bCs/>
          <w:sz w:val="32"/>
          <w:szCs w:val="22"/>
        </w:rPr>
      </w:pPr>
      <w:r>
        <w:fldChar w:fldCharType="begin"/>
      </w:r>
      <w:r>
        <w:instrText xml:space="preserve"> HYPERLINK "file:///F:\\李红伟\\5工程项目\\1%20工程项目\\2-1%20空调制冷系统维保项目（2022）\\3%20招标文件\\【竞争性谈判文件】-空调制冷系统维保1.doc" \l "_Toc42114261" </w:instrText>
      </w:r>
      <w:r>
        <w:fldChar w:fldCharType="separate"/>
      </w:r>
      <w:r>
        <w:rPr>
          <w:rStyle w:val="46"/>
          <w:rFonts w:hint="eastAsia" w:ascii="Times New Roman" w:hAnsi="Times New Roman"/>
        </w:rPr>
        <w:t>第四部分</w:t>
      </w:r>
      <w:r>
        <w:rPr>
          <w:rStyle w:val="46"/>
          <w:rFonts w:hint="eastAsia"/>
        </w:rPr>
        <w:t xml:space="preserve"> </w:t>
      </w:r>
      <w:r>
        <w:rPr>
          <w:rStyle w:val="46"/>
          <w:rFonts w:hint="eastAsia" w:ascii="Times New Roman" w:hAnsi="Times New Roman"/>
        </w:rPr>
        <w:t>采购合同</w:t>
      </w:r>
      <w:r>
        <w:rPr>
          <w:rStyle w:val="46"/>
          <w:rFonts w:hint="eastAsia"/>
        </w:rPr>
        <w:tab/>
      </w:r>
      <w:r>
        <w:rPr>
          <w:rStyle w:val="46"/>
          <w:rFonts w:hint="eastAsia"/>
        </w:rPr>
        <w:t>22</w:t>
      </w:r>
      <w:r>
        <w:rPr>
          <w:rStyle w:val="46"/>
          <w:rFonts w:hint="eastAsia"/>
        </w:rPr>
        <w:fldChar w:fldCharType="end"/>
      </w:r>
    </w:p>
    <w:p>
      <w:pPr>
        <w:pStyle w:val="35"/>
        <w:rPr>
          <w:b/>
          <w:bCs/>
          <w:sz w:val="32"/>
          <w:szCs w:val="22"/>
          <w:lang w:val="zh-CN"/>
        </w:rPr>
      </w:pPr>
      <w:r>
        <w:fldChar w:fldCharType="begin"/>
      </w:r>
      <w:r>
        <w:instrText xml:space="preserve"> HYPERLINK "file:///F:\\李红伟\\5工程项目\\1%20工程项目\\2-1%20空调制冷系统维保项目（2022）\\3%20招标文件\\【竞争性谈判文件】-空调制冷系统维保1.doc" \l "_Toc42114262" </w:instrText>
      </w:r>
      <w:r>
        <w:fldChar w:fldCharType="separate"/>
      </w:r>
      <w:r>
        <w:rPr>
          <w:rStyle w:val="46"/>
          <w:rFonts w:hint="eastAsia" w:ascii="Times New Roman" w:hAnsi="Times New Roman"/>
        </w:rPr>
        <w:t>第五部分</w:t>
      </w:r>
      <w:r>
        <w:rPr>
          <w:rStyle w:val="46"/>
          <w:rFonts w:hint="eastAsia"/>
        </w:rPr>
        <w:t xml:space="preserve"> </w:t>
      </w:r>
      <w:r>
        <w:rPr>
          <w:rStyle w:val="46"/>
          <w:rFonts w:hint="eastAsia" w:ascii="Times New Roman" w:hAnsi="Times New Roman"/>
        </w:rPr>
        <w:t>采购需求</w:t>
      </w:r>
      <w:r>
        <w:rPr>
          <w:rStyle w:val="46"/>
          <w:rFonts w:hint="eastAsia"/>
        </w:rPr>
        <w:tab/>
      </w:r>
      <w:r>
        <w:rPr>
          <w:rStyle w:val="46"/>
          <w:rFonts w:hint="eastAsia"/>
          <w:lang w:val="zh-CN"/>
        </w:rPr>
        <w:t>33</w:t>
      </w:r>
      <w:r>
        <w:rPr>
          <w:rStyle w:val="46"/>
          <w:rFonts w:hint="eastAsia"/>
          <w:lang w:val="zh-CN"/>
        </w:rPr>
        <w:fldChar w:fldCharType="end"/>
      </w:r>
    </w:p>
    <w:p>
      <w:pPr>
        <w:pStyle w:val="35"/>
        <w:rPr>
          <w:rStyle w:val="46"/>
          <w:b/>
          <w:bCs/>
          <w:color w:val="auto"/>
          <w:sz w:val="32"/>
          <w:szCs w:val="22"/>
          <w:u w:val="none"/>
          <w:lang w:val="zh-CN"/>
        </w:rPr>
      </w:pPr>
      <w:r>
        <w:fldChar w:fldCharType="begin"/>
      </w:r>
      <w:r>
        <w:instrText xml:space="preserve"> HYPERLINK "file:///F:\\李红伟\\5工程项目\\1%20工程项目\\2-1%20空调制冷系统维保项目（2022）\\3%20招标文件\\【竞争性谈判文件】-空调制冷系统维保1.doc" \l "_Toc42114263" </w:instrText>
      </w:r>
      <w:r>
        <w:fldChar w:fldCharType="separate"/>
      </w:r>
      <w:r>
        <w:rPr>
          <w:rStyle w:val="46"/>
          <w:rFonts w:hint="eastAsia" w:ascii="Times New Roman" w:hAnsi="Times New Roman"/>
        </w:rPr>
        <w:t>第六部分</w:t>
      </w:r>
      <w:r>
        <w:rPr>
          <w:rStyle w:val="46"/>
          <w:rFonts w:hint="eastAsia"/>
        </w:rPr>
        <w:t xml:space="preserve"> </w:t>
      </w:r>
      <w:r>
        <w:rPr>
          <w:rStyle w:val="46"/>
          <w:rFonts w:hint="eastAsia" w:ascii="Times New Roman" w:hAnsi="Times New Roman"/>
        </w:rPr>
        <w:t>响应文件格式</w:t>
      </w:r>
      <w:r>
        <w:rPr>
          <w:rStyle w:val="46"/>
          <w:rFonts w:hint="eastAsia"/>
        </w:rPr>
        <w:tab/>
      </w:r>
      <w:r>
        <w:rPr>
          <w:rStyle w:val="46"/>
          <w:rFonts w:hint="eastAsia"/>
          <w:lang w:val="zh-CN"/>
        </w:rPr>
        <w:t>41</w:t>
      </w:r>
      <w:r>
        <w:rPr>
          <w:rStyle w:val="46"/>
          <w:rFonts w:hint="eastAsia"/>
          <w:lang w:val="zh-CN"/>
        </w:rPr>
        <w:fldChar w:fldCharType="end"/>
      </w:r>
    </w:p>
    <w:p>
      <w:pPr>
        <w:spacing w:line="480" w:lineRule="auto"/>
        <w:ind w:firstLine="1200"/>
        <w:jc w:val="center"/>
        <w:rPr>
          <w:rFonts w:ascii="宋体" w:hAnsi="宋体"/>
          <w:sz w:val="24"/>
        </w:rPr>
      </w:pPr>
      <w:r>
        <w:rPr>
          <w:rFonts w:hint="eastAsia"/>
        </w:rPr>
        <w:fldChar w:fldCharType="end"/>
      </w:r>
    </w:p>
    <w:p>
      <w:pPr>
        <w:spacing w:line="360" w:lineRule="auto"/>
        <w:ind w:firstLine="1200"/>
        <w:jc w:val="center"/>
        <w:rPr>
          <w:rFonts w:ascii="宋体" w:hAnsi="宋体"/>
          <w:sz w:val="24"/>
        </w:rPr>
      </w:pPr>
    </w:p>
    <w:p>
      <w:pPr>
        <w:spacing w:line="360" w:lineRule="auto"/>
        <w:ind w:firstLine="1200"/>
        <w:jc w:val="center"/>
        <w:rPr>
          <w:rFonts w:ascii="宋体" w:hAnsi="宋体"/>
          <w:sz w:val="24"/>
        </w:rPr>
      </w:pPr>
    </w:p>
    <w:p>
      <w:pPr>
        <w:spacing w:line="360" w:lineRule="auto"/>
        <w:ind w:firstLine="1200"/>
        <w:jc w:val="center"/>
        <w:rPr>
          <w:rFonts w:ascii="宋体" w:hAnsi="宋体"/>
          <w:sz w:val="24"/>
        </w:rPr>
      </w:pPr>
    </w:p>
    <w:p>
      <w:pPr>
        <w:pStyle w:val="2"/>
        <w:ind w:firstLine="1200"/>
        <w:rPr>
          <w:sz w:val="36"/>
        </w:rPr>
      </w:pPr>
      <w:r>
        <w:rPr>
          <w:rFonts w:hint="eastAsia" w:ascii="宋体" w:hAnsi="宋体"/>
          <w:b w:val="0"/>
          <w:bCs w:val="0"/>
          <w:sz w:val="24"/>
        </w:rPr>
        <w:br w:type="page"/>
      </w:r>
      <w:bookmarkStart w:id="1" w:name="_Toc42114259"/>
      <w:r>
        <w:rPr>
          <w:rFonts w:hint="eastAsia"/>
          <w:sz w:val="36"/>
        </w:rPr>
        <w:t>第一部分</w:t>
      </w:r>
      <w:r>
        <w:rPr>
          <w:sz w:val="36"/>
        </w:rPr>
        <w:t xml:space="preserve"> </w:t>
      </w:r>
      <w:r>
        <w:rPr>
          <w:rFonts w:hint="eastAsia"/>
          <w:sz w:val="36"/>
        </w:rPr>
        <w:t>竞争性</w:t>
      </w:r>
      <w:bookmarkEnd w:id="1"/>
      <w:r>
        <w:rPr>
          <w:rFonts w:hint="eastAsia"/>
          <w:sz w:val="36"/>
          <w:lang w:val="en-US"/>
        </w:rPr>
        <w:t>磋商</w:t>
      </w:r>
      <w:r>
        <w:rPr>
          <w:rFonts w:hint="eastAsia"/>
          <w:sz w:val="36"/>
        </w:rPr>
        <w:t>公告</w:t>
      </w:r>
    </w:p>
    <w:p>
      <w:pPr>
        <w:spacing w:line="360" w:lineRule="auto"/>
        <w:ind w:firstLine="480" w:firstLineChars="200"/>
        <w:rPr>
          <w:rFonts w:ascii="宋体" w:hAnsi="宋体" w:cs="宋体"/>
          <w:sz w:val="24"/>
        </w:rPr>
      </w:pPr>
      <w:r>
        <w:rPr>
          <w:rFonts w:hint="eastAsia" w:ascii="宋体" w:hAnsi="宋体" w:cs="宋体"/>
          <w:sz w:val="24"/>
          <w:u w:val="single"/>
        </w:rPr>
        <w:t>北京纳米能源与系统研究所</w:t>
      </w:r>
      <w:r>
        <w:rPr>
          <w:rFonts w:hint="eastAsia" w:ascii="宋体" w:hAnsi="宋体" w:cs="宋体"/>
          <w:sz w:val="24"/>
        </w:rPr>
        <w:t>，拟就</w:t>
      </w:r>
      <w:r>
        <w:rPr>
          <w:rFonts w:hint="eastAsia" w:ascii="宋体" w:hAnsi="宋体" w:cs="宋体"/>
          <w:sz w:val="24"/>
          <w:u w:val="single"/>
        </w:rPr>
        <w:t>北京纳米能源与系统研究所2024空调系统维护保养项目</w:t>
      </w:r>
      <w:r>
        <w:rPr>
          <w:rFonts w:hint="eastAsia" w:ascii="宋体" w:hAnsi="宋体" w:cs="宋体"/>
          <w:sz w:val="24"/>
        </w:rPr>
        <w:t>进行竞争性磋商，现邀请潜在供应商参加。</w:t>
      </w:r>
      <w:bookmarkStart w:id="2" w:name="_Toc28359012"/>
      <w:bookmarkStart w:id="3" w:name="_Toc35393798"/>
      <w:bookmarkStart w:id="4" w:name="_Toc35393629"/>
      <w:bookmarkStart w:id="5" w:name="_Toc28359089"/>
    </w:p>
    <w:p>
      <w:pPr>
        <w:spacing w:line="360" w:lineRule="auto"/>
        <w:ind w:firstLine="1405"/>
        <w:rPr>
          <w:rFonts w:ascii="宋体" w:hAnsi="宋体" w:cs="宋体"/>
          <w:b/>
          <w:sz w:val="28"/>
        </w:rPr>
      </w:pPr>
      <w:r>
        <w:rPr>
          <w:rFonts w:hint="eastAsia" w:ascii="宋体" w:hAnsi="宋体" w:cs="宋体"/>
          <w:b/>
          <w:sz w:val="28"/>
        </w:rPr>
        <w:t>一、项目基本情况</w:t>
      </w:r>
      <w:bookmarkEnd w:id="2"/>
      <w:bookmarkEnd w:id="3"/>
      <w:bookmarkEnd w:id="4"/>
      <w:bookmarkEnd w:id="5"/>
    </w:p>
    <w:p>
      <w:pPr>
        <w:spacing w:line="360" w:lineRule="auto"/>
        <w:ind w:firstLine="1200"/>
        <w:rPr>
          <w:rFonts w:ascii="宋体" w:hAnsi="宋体"/>
          <w:sz w:val="24"/>
        </w:rPr>
      </w:pPr>
      <w:r>
        <w:rPr>
          <w:rFonts w:hint="eastAsia" w:ascii="宋体" w:hAnsi="宋体"/>
          <w:sz w:val="24"/>
        </w:rPr>
        <w:t>项目编号：</w:t>
      </w:r>
    </w:p>
    <w:p>
      <w:pPr>
        <w:spacing w:line="360" w:lineRule="auto"/>
        <w:ind w:firstLine="1200"/>
        <w:rPr>
          <w:rFonts w:ascii="宋体" w:hAnsi="宋体"/>
          <w:sz w:val="24"/>
          <w:u w:val="single"/>
        </w:rPr>
      </w:pPr>
      <w:r>
        <w:rPr>
          <w:rFonts w:hint="eastAsia" w:ascii="宋体" w:hAnsi="宋体"/>
          <w:sz w:val="24"/>
        </w:rPr>
        <w:t>项目名称：</w:t>
      </w:r>
      <w:r>
        <w:rPr>
          <w:rFonts w:hint="eastAsia" w:ascii="宋体" w:hAnsi="宋体" w:cs="宋体"/>
          <w:sz w:val="24"/>
          <w:u w:val="single"/>
        </w:rPr>
        <w:t>北京纳米能源与系统研究所2024空调系统维护保养项目</w:t>
      </w:r>
    </w:p>
    <w:p>
      <w:pPr>
        <w:spacing w:line="360" w:lineRule="auto"/>
        <w:ind w:firstLine="1200"/>
        <w:rPr>
          <w:rFonts w:ascii="宋体" w:hAnsi="宋体"/>
          <w:sz w:val="24"/>
        </w:rPr>
      </w:pPr>
      <w:r>
        <w:rPr>
          <w:rFonts w:hint="eastAsia" w:ascii="宋体" w:hAnsi="宋体"/>
          <w:sz w:val="24"/>
        </w:rPr>
        <w:t>采购方式：竞争性磋商</w:t>
      </w:r>
    </w:p>
    <w:p>
      <w:pPr>
        <w:spacing w:line="360" w:lineRule="auto"/>
        <w:ind w:firstLine="1200"/>
        <w:rPr>
          <w:rFonts w:ascii="宋体" w:hAnsi="宋体"/>
          <w:color w:val="FF0000"/>
          <w:sz w:val="24"/>
        </w:rPr>
      </w:pPr>
      <w:r>
        <w:rPr>
          <w:rFonts w:hint="eastAsia" w:ascii="宋体" w:hAnsi="宋体"/>
          <w:color w:val="FF0000"/>
          <w:sz w:val="24"/>
        </w:rPr>
        <w:t>预算金额： 人民币17</w:t>
      </w:r>
      <w:r>
        <w:rPr>
          <w:rFonts w:hint="eastAsia" w:ascii="宋体" w:hAnsi="宋体"/>
          <w:color w:val="FF0000"/>
          <w:sz w:val="24"/>
          <w:u w:val="single"/>
        </w:rPr>
        <w:t>万元</w:t>
      </w:r>
    </w:p>
    <w:p>
      <w:pPr>
        <w:spacing w:line="360" w:lineRule="auto"/>
        <w:ind w:firstLine="1200"/>
        <w:rPr>
          <w:rFonts w:ascii="宋体" w:hAnsi="宋体"/>
          <w:color w:val="FF0000"/>
          <w:sz w:val="24"/>
        </w:rPr>
      </w:pPr>
      <w:r>
        <w:rPr>
          <w:rFonts w:hint="eastAsia" w:ascii="宋体" w:hAnsi="宋体"/>
          <w:color w:val="FF0000"/>
          <w:sz w:val="24"/>
        </w:rPr>
        <w:t>最高限价： 人民币17</w:t>
      </w:r>
      <w:r>
        <w:rPr>
          <w:rFonts w:hint="eastAsia" w:ascii="宋体" w:hAnsi="宋体"/>
          <w:color w:val="FF0000"/>
          <w:sz w:val="24"/>
          <w:u w:val="single"/>
        </w:rPr>
        <w:t>万元</w:t>
      </w:r>
    </w:p>
    <w:p>
      <w:pPr>
        <w:spacing w:line="360" w:lineRule="auto"/>
        <w:ind w:firstLine="1200"/>
        <w:rPr>
          <w:rFonts w:ascii="宋体" w:hAnsi="宋体"/>
          <w:bCs/>
          <w:sz w:val="24"/>
          <w:u w:val="single"/>
        </w:rPr>
      </w:pPr>
      <w:r>
        <w:rPr>
          <w:rFonts w:hint="eastAsia" w:ascii="宋体" w:hAnsi="宋体"/>
          <w:sz w:val="24"/>
        </w:rPr>
        <w:t>采购需求：园区</w:t>
      </w:r>
      <w:r>
        <w:rPr>
          <w:rFonts w:hint="eastAsia" w:ascii="宋体" w:hAnsi="宋体"/>
          <w:bCs/>
          <w:sz w:val="24"/>
        </w:rPr>
        <w:t>空调制冷系统维保。具体详见“第五部分采购需求”</w:t>
      </w:r>
    </w:p>
    <w:p>
      <w:pPr>
        <w:spacing w:line="360" w:lineRule="auto"/>
        <w:ind w:firstLine="1200"/>
        <w:rPr>
          <w:rFonts w:ascii="宋体" w:hAnsi="宋体"/>
          <w:sz w:val="24"/>
          <w:u w:val="single"/>
        </w:rPr>
      </w:pPr>
      <w:r>
        <w:rPr>
          <w:rFonts w:hint="eastAsia" w:ascii="宋体" w:hAnsi="宋体"/>
          <w:sz w:val="24"/>
        </w:rPr>
        <w:t>合同期限：</w:t>
      </w:r>
      <w:r>
        <w:rPr>
          <w:rFonts w:hint="eastAsia" w:ascii="宋体" w:hAnsi="宋体" w:cs="宋体"/>
          <w:sz w:val="24"/>
          <w:u w:val="single"/>
        </w:rPr>
        <w:t>自合同签订之日起1年，完成所有服务内容并通过验收</w:t>
      </w:r>
    </w:p>
    <w:p>
      <w:pPr>
        <w:spacing w:line="360" w:lineRule="auto"/>
        <w:ind w:firstLine="1200"/>
        <w:rPr>
          <w:rFonts w:ascii="宋体" w:hAnsi="宋体"/>
          <w:sz w:val="24"/>
        </w:rPr>
      </w:pPr>
      <w:r>
        <w:rPr>
          <w:rFonts w:hint="eastAsia" w:ascii="宋体" w:hAnsi="宋体"/>
          <w:sz w:val="24"/>
        </w:rPr>
        <w:t>本项目（不接受）联合体投标</w:t>
      </w:r>
    </w:p>
    <w:p>
      <w:pPr>
        <w:spacing w:line="360" w:lineRule="auto"/>
        <w:ind w:firstLine="1405"/>
        <w:rPr>
          <w:rFonts w:ascii="宋体" w:hAnsi="宋体" w:cs="宋体"/>
          <w:b/>
          <w:sz w:val="28"/>
        </w:rPr>
      </w:pPr>
      <w:bookmarkStart w:id="6" w:name="_Toc28359090"/>
      <w:bookmarkStart w:id="7" w:name="_Toc35393799"/>
      <w:bookmarkStart w:id="8" w:name="_Toc35393630"/>
      <w:bookmarkStart w:id="9" w:name="_Toc28359013"/>
      <w:r>
        <w:rPr>
          <w:rFonts w:hint="eastAsia" w:ascii="宋体" w:hAnsi="宋体" w:cs="宋体"/>
          <w:b/>
          <w:sz w:val="28"/>
        </w:rPr>
        <w:t>二、申请人的资格要求</w:t>
      </w:r>
      <w:bookmarkEnd w:id="6"/>
      <w:bookmarkEnd w:id="7"/>
      <w:bookmarkEnd w:id="8"/>
      <w:bookmarkEnd w:id="9"/>
    </w:p>
    <w:p>
      <w:pPr>
        <w:spacing w:line="360" w:lineRule="auto"/>
        <w:ind w:firstLine="1200"/>
        <w:rPr>
          <w:rFonts w:ascii="宋体" w:hAnsi="宋体"/>
          <w:sz w:val="24"/>
        </w:rPr>
      </w:pPr>
      <w:r>
        <w:rPr>
          <w:rFonts w:hint="eastAsia" w:ascii="宋体" w:hAnsi="宋体"/>
          <w:sz w:val="24"/>
        </w:rPr>
        <w:t>1.满足《中华人民共和国政府采购法》第二十二条规定；</w:t>
      </w:r>
    </w:p>
    <w:p>
      <w:pPr>
        <w:spacing w:line="360" w:lineRule="auto"/>
        <w:ind w:firstLine="1200"/>
        <w:rPr>
          <w:rFonts w:ascii="宋体" w:hAnsi="宋体"/>
          <w:sz w:val="24"/>
        </w:rPr>
      </w:pPr>
      <w:bookmarkStart w:id="10" w:name="_Toc28359014"/>
      <w:bookmarkStart w:id="11" w:name="_Toc28359091"/>
      <w:r>
        <w:rPr>
          <w:rFonts w:hint="eastAsia" w:ascii="宋体" w:hAnsi="宋体"/>
          <w:sz w:val="24"/>
        </w:rPr>
        <w:t>2.落实政府采购政策需满足的资格要求：无</w:t>
      </w:r>
      <w:r>
        <w:rPr>
          <w:rFonts w:hint="eastAsia" w:ascii="宋体" w:hAnsi="宋体"/>
          <w:bCs/>
          <w:sz w:val="24"/>
          <w:u w:val="single"/>
        </w:rPr>
        <w:t>。</w:t>
      </w:r>
    </w:p>
    <w:p>
      <w:pPr>
        <w:spacing w:line="360" w:lineRule="auto"/>
        <w:ind w:firstLine="1200"/>
        <w:rPr>
          <w:rFonts w:ascii="宋体" w:hAnsi="宋体"/>
          <w:i/>
          <w:iCs/>
          <w:sz w:val="24"/>
          <w:u w:val="single"/>
        </w:rPr>
      </w:pPr>
      <w:r>
        <w:rPr>
          <w:rFonts w:hint="eastAsia" w:ascii="宋体" w:hAnsi="宋体"/>
          <w:sz w:val="24"/>
        </w:rPr>
        <w:t>3.本项目的特定资格要求：</w:t>
      </w:r>
    </w:p>
    <w:p>
      <w:pPr>
        <w:tabs>
          <w:tab w:val="left" w:pos="540"/>
        </w:tabs>
        <w:spacing w:line="360" w:lineRule="auto"/>
        <w:ind w:firstLine="480" w:firstLineChars="200"/>
        <w:jc w:val="left"/>
        <w:rPr>
          <w:rFonts w:ascii="宋体" w:hAnsi="宋体"/>
          <w:sz w:val="24"/>
        </w:rPr>
      </w:pPr>
      <w:bookmarkStart w:id="12" w:name="_Toc35393631"/>
      <w:bookmarkStart w:id="13" w:name="_Toc35393800"/>
      <w:r>
        <w:rPr>
          <w:rFonts w:hint="eastAsia" w:ascii="宋体" w:hAnsi="宋体"/>
          <w:sz w:val="24"/>
        </w:rPr>
        <w:t>（1）通过“信用中国”网站（https://www.creditchina.gov.cn/）查询记录，未被列入失信被执行人、重大税收违法案件当事人名单；</w:t>
      </w:r>
    </w:p>
    <w:p>
      <w:pPr>
        <w:tabs>
          <w:tab w:val="left" w:pos="540"/>
        </w:tabs>
        <w:spacing w:line="360" w:lineRule="auto"/>
        <w:ind w:firstLine="480" w:firstLineChars="200"/>
        <w:jc w:val="left"/>
        <w:rPr>
          <w:rFonts w:ascii="宋体" w:hAnsi="宋体"/>
          <w:sz w:val="24"/>
        </w:rPr>
      </w:pPr>
      <w:r>
        <w:rPr>
          <w:rFonts w:hint="eastAsia" w:ascii="宋体" w:hAnsi="宋体"/>
          <w:sz w:val="24"/>
        </w:rPr>
        <w:t>（2）通过“中国政府采购网”网站（</w:t>
      </w:r>
      <w:r>
        <w:fldChar w:fldCharType="begin"/>
      </w:r>
      <w:r>
        <w:instrText xml:space="preserve"> HYPERLINK "http://www.ccgp.gov.cn/search/cr/" </w:instrText>
      </w:r>
      <w:r>
        <w:fldChar w:fldCharType="separate"/>
      </w:r>
      <w:r>
        <w:rPr>
          <w:rStyle w:val="46"/>
          <w:rFonts w:hint="eastAsia" w:ascii="宋体" w:hAnsi="宋体"/>
        </w:rPr>
        <w:t>http://www.ccgp.gov.cn/search/cr/</w:t>
      </w:r>
      <w:r>
        <w:rPr>
          <w:rStyle w:val="46"/>
          <w:rFonts w:hint="eastAsia" w:ascii="宋体" w:hAnsi="宋体"/>
        </w:rPr>
        <w:fldChar w:fldCharType="end"/>
      </w:r>
      <w:r>
        <w:rPr>
          <w:rFonts w:hint="eastAsia" w:ascii="宋体" w:hAnsi="宋体"/>
          <w:sz w:val="24"/>
        </w:rPr>
        <w:t>）查询记录，未被列入</w:t>
      </w:r>
      <w:r>
        <w:fldChar w:fldCharType="begin"/>
      </w:r>
      <w:r>
        <w:instrText xml:space="preserve"> HYPERLINK "http://www.ccgp.gov.cn/search/cr/" \o "政府采购严重违法失信行为记录名单" </w:instrText>
      </w:r>
      <w:r>
        <w:fldChar w:fldCharType="separate"/>
      </w:r>
      <w:r>
        <w:rPr>
          <w:rStyle w:val="46"/>
          <w:rFonts w:hint="eastAsia" w:ascii="宋体" w:hAnsi="宋体"/>
        </w:rPr>
        <w:t>政府采购严重违法失信行为记录名单</w:t>
      </w:r>
      <w:r>
        <w:rPr>
          <w:rStyle w:val="46"/>
          <w:rFonts w:hint="eastAsia" w:ascii="宋体" w:hAnsi="宋体"/>
        </w:rPr>
        <w:fldChar w:fldCharType="end"/>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（3）其他资格要求：中央空调系统维护保养相关资质证书（A类或D类）</w:t>
      </w:r>
    </w:p>
    <w:p>
      <w:pPr>
        <w:spacing w:line="360" w:lineRule="auto"/>
        <w:ind w:firstLine="1405"/>
        <w:rPr>
          <w:rFonts w:ascii="宋体" w:hAnsi="宋体" w:cs="宋体"/>
          <w:b/>
          <w:sz w:val="28"/>
        </w:rPr>
      </w:pPr>
      <w:r>
        <w:rPr>
          <w:rFonts w:hint="eastAsia" w:ascii="宋体" w:hAnsi="宋体" w:cs="宋体"/>
          <w:b/>
          <w:sz w:val="28"/>
        </w:rPr>
        <w:t>三、获取采购文件</w:t>
      </w:r>
      <w:bookmarkEnd w:id="10"/>
      <w:bookmarkEnd w:id="11"/>
      <w:bookmarkEnd w:id="12"/>
      <w:bookmarkEnd w:id="13"/>
    </w:p>
    <w:p>
      <w:pPr>
        <w:spacing w:line="360" w:lineRule="auto"/>
        <w:ind w:firstLine="480" w:firstLineChars="200"/>
        <w:rPr>
          <w:rFonts w:ascii="宋体" w:hAnsi="宋体" w:cs="宋体"/>
          <w:color w:val="FF0000"/>
          <w:sz w:val="24"/>
        </w:rPr>
      </w:pPr>
      <w:r>
        <w:rPr>
          <w:rFonts w:hint="eastAsia" w:ascii="宋体" w:hAnsi="宋体" w:cs="宋体"/>
          <w:sz w:val="24"/>
        </w:rPr>
        <w:t>1、时间</w:t>
      </w:r>
      <w:r>
        <w:rPr>
          <w:rFonts w:hint="eastAsia" w:ascii="宋体" w:hAnsi="宋体" w:cs="宋体"/>
          <w:color w:val="FF0000"/>
          <w:sz w:val="24"/>
        </w:rPr>
        <w:t>：</w:t>
      </w:r>
      <w:r>
        <w:rPr>
          <w:rFonts w:hint="eastAsia" w:ascii="宋体" w:hAnsi="宋体" w:cs="宋体"/>
          <w:color w:val="FF0000"/>
          <w:sz w:val="24"/>
          <w:u w:val="single"/>
        </w:rPr>
        <w:t>2024年5月16日</w:t>
      </w:r>
      <w:r>
        <w:rPr>
          <w:rFonts w:hint="eastAsia" w:ascii="宋体" w:hAnsi="宋体" w:cs="宋体"/>
          <w:color w:val="FF0000"/>
          <w:sz w:val="24"/>
        </w:rPr>
        <w:t>至</w:t>
      </w:r>
      <w:r>
        <w:rPr>
          <w:rFonts w:hint="eastAsia" w:ascii="宋体" w:hAnsi="宋体" w:cs="宋体"/>
          <w:color w:val="FF0000"/>
          <w:sz w:val="24"/>
          <w:u w:val="single"/>
        </w:rPr>
        <w:t>2024年5月23日</w:t>
      </w:r>
    </w:p>
    <w:p>
      <w:pPr>
        <w:spacing w:line="360" w:lineRule="auto"/>
        <w:ind w:firstLine="480" w:firstLineChars="200"/>
        <w:rPr>
          <w:rFonts w:ascii="宋体" w:hAnsi="宋体" w:cs="宋体"/>
          <w:sz w:val="24"/>
        </w:rPr>
      </w:pPr>
      <w:r>
        <w:rPr>
          <w:rFonts w:hint="eastAsia" w:ascii="宋体" w:hAnsi="宋体" w:cs="宋体"/>
          <w:sz w:val="24"/>
        </w:rPr>
        <w:t>2、地点：北京市怀柔区雁栖经济开发区杨雁东一路8号北京纳米能源与系统研究所</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、获取方式：进入我所网站（http://www.binn.cas.cn/tzgg/tzgg/）自行下载。</w:t>
      </w:r>
    </w:p>
    <w:p>
      <w:pPr>
        <w:spacing w:line="360" w:lineRule="auto"/>
        <w:ind w:firstLine="480" w:firstLineChars="200"/>
        <w:jc w:val="left"/>
        <w:rPr>
          <w:rFonts w:ascii="宋体" w:hAnsi="宋体"/>
          <w:color w:val="000000"/>
          <w:sz w:val="24"/>
        </w:rPr>
      </w:pPr>
      <w:r>
        <w:rPr>
          <w:rFonts w:hint="eastAsia" w:ascii="宋体" w:hAnsi="宋体"/>
          <w:color w:val="000000"/>
          <w:sz w:val="24"/>
        </w:rPr>
        <w:t>4、参与投标单位请将贵司授权委托书、营业执照、资质文件(扫描盖章版)及联系人联系电话发送至wanghuiqun@binn.cas.cn作为登记。</w:t>
      </w:r>
    </w:p>
    <w:p>
      <w:pPr>
        <w:spacing w:line="360" w:lineRule="auto"/>
        <w:ind w:firstLine="1405"/>
        <w:rPr>
          <w:rFonts w:ascii="宋体" w:hAnsi="宋体" w:cs="宋体"/>
          <w:b/>
          <w:sz w:val="28"/>
        </w:rPr>
      </w:pPr>
      <w:bookmarkStart w:id="14" w:name="_Toc35393801"/>
      <w:bookmarkStart w:id="15" w:name="_Toc35393632"/>
      <w:bookmarkStart w:id="16" w:name="_Toc28359015"/>
      <w:bookmarkStart w:id="17" w:name="_Toc28359092"/>
      <w:r>
        <w:rPr>
          <w:rFonts w:hint="eastAsia" w:ascii="宋体" w:hAnsi="宋体" w:cs="宋体"/>
          <w:b/>
          <w:sz w:val="28"/>
        </w:rPr>
        <w:t>四、响应文件提交</w:t>
      </w:r>
      <w:bookmarkEnd w:id="14"/>
      <w:bookmarkEnd w:id="15"/>
      <w:bookmarkEnd w:id="16"/>
      <w:bookmarkEnd w:id="17"/>
    </w:p>
    <w:p>
      <w:pPr>
        <w:spacing w:line="360" w:lineRule="auto"/>
        <w:ind w:firstLine="1200"/>
        <w:rPr>
          <w:rFonts w:ascii="宋体" w:hAnsi="宋体"/>
          <w:bCs/>
          <w:sz w:val="24"/>
          <w:u w:val="single"/>
        </w:rPr>
      </w:pPr>
      <w:r>
        <w:rPr>
          <w:rFonts w:hint="eastAsia" w:ascii="宋体" w:hAnsi="宋体"/>
          <w:sz w:val="24"/>
        </w:rPr>
        <w:t>截止时间：</w:t>
      </w:r>
      <w:r>
        <w:rPr>
          <w:rFonts w:hint="eastAsia" w:ascii="宋体" w:hAnsi="宋体"/>
          <w:color w:val="FF0000"/>
          <w:sz w:val="24"/>
          <w:u w:val="single"/>
        </w:rPr>
        <w:t>2024</w:t>
      </w:r>
      <w:r>
        <w:rPr>
          <w:rFonts w:hint="eastAsia" w:ascii="宋体" w:hAnsi="宋体"/>
          <w:bCs/>
          <w:color w:val="FF0000"/>
          <w:sz w:val="24"/>
          <w:u w:val="single"/>
        </w:rPr>
        <w:t>年5月27日1</w:t>
      </w:r>
      <w:r>
        <w:rPr>
          <w:rFonts w:ascii="宋体" w:hAnsi="宋体"/>
          <w:bCs/>
          <w:color w:val="FF0000"/>
          <w:sz w:val="24"/>
          <w:u w:val="single"/>
        </w:rPr>
        <w:t>0</w:t>
      </w:r>
      <w:r>
        <w:rPr>
          <w:rFonts w:hint="eastAsia" w:ascii="宋体" w:hAnsi="宋体"/>
          <w:bCs/>
          <w:color w:val="FF0000"/>
          <w:sz w:val="24"/>
          <w:u w:val="single"/>
        </w:rPr>
        <w:t>点</w:t>
      </w:r>
      <w:r>
        <w:rPr>
          <w:rFonts w:ascii="宋体" w:hAnsi="宋体"/>
          <w:bCs/>
          <w:color w:val="FF0000"/>
          <w:sz w:val="24"/>
          <w:u w:val="single"/>
        </w:rPr>
        <w:t>0</w:t>
      </w:r>
      <w:r>
        <w:rPr>
          <w:rFonts w:hint="eastAsia" w:ascii="宋体" w:hAnsi="宋体"/>
          <w:bCs/>
          <w:color w:val="FF0000"/>
          <w:sz w:val="24"/>
          <w:u w:val="single"/>
        </w:rPr>
        <w:t>0分</w:t>
      </w:r>
      <w:r>
        <w:rPr>
          <w:rFonts w:hint="eastAsia" w:ascii="宋体" w:hAnsi="宋体"/>
          <w:bCs/>
          <w:color w:val="FF0000"/>
          <w:sz w:val="24"/>
        </w:rPr>
        <w:t>（北京时间）</w:t>
      </w:r>
    </w:p>
    <w:p>
      <w:pPr>
        <w:spacing w:line="360" w:lineRule="auto"/>
        <w:ind w:firstLine="1200"/>
        <w:rPr>
          <w:rFonts w:ascii="宋体" w:hAnsi="宋体"/>
          <w:sz w:val="24"/>
          <w:u w:val="single"/>
        </w:rPr>
      </w:pPr>
      <w:r>
        <w:rPr>
          <w:rFonts w:hint="eastAsia" w:ascii="宋体" w:hAnsi="宋体"/>
          <w:sz w:val="24"/>
        </w:rPr>
        <w:t>地点：</w:t>
      </w:r>
      <w:r>
        <w:rPr>
          <w:rFonts w:hint="eastAsia" w:ascii="宋体" w:hAnsi="宋体"/>
          <w:color w:val="000000"/>
          <w:sz w:val="24"/>
          <w:u w:val="single"/>
        </w:rPr>
        <w:t>北京市怀柔区雁栖经济开发区杨雁东一路8号</w:t>
      </w:r>
    </w:p>
    <w:p>
      <w:pPr>
        <w:spacing w:line="360" w:lineRule="auto"/>
        <w:ind w:firstLine="1405"/>
        <w:rPr>
          <w:rFonts w:ascii="宋体" w:hAnsi="宋体" w:cs="宋体"/>
          <w:b/>
          <w:sz w:val="28"/>
        </w:rPr>
      </w:pPr>
      <w:bookmarkStart w:id="18" w:name="_Toc28359016"/>
      <w:bookmarkStart w:id="19" w:name="_Toc35393802"/>
      <w:bookmarkStart w:id="20" w:name="_Toc35393633"/>
      <w:bookmarkStart w:id="21" w:name="_Toc28359093"/>
      <w:r>
        <w:rPr>
          <w:rFonts w:hint="eastAsia" w:ascii="宋体" w:hAnsi="宋体" w:cs="宋体"/>
          <w:b/>
          <w:sz w:val="28"/>
        </w:rPr>
        <w:t>五、开启</w:t>
      </w:r>
      <w:bookmarkEnd w:id="18"/>
      <w:bookmarkEnd w:id="19"/>
      <w:bookmarkEnd w:id="20"/>
      <w:bookmarkEnd w:id="21"/>
    </w:p>
    <w:p>
      <w:pPr>
        <w:spacing w:line="360" w:lineRule="auto"/>
        <w:ind w:firstLine="1200"/>
        <w:rPr>
          <w:rFonts w:ascii="宋体" w:hAnsi="宋体"/>
          <w:bCs/>
          <w:sz w:val="24"/>
          <w:u w:val="single"/>
        </w:rPr>
      </w:pPr>
      <w:r>
        <w:rPr>
          <w:rFonts w:hint="eastAsia" w:ascii="宋体" w:hAnsi="宋体"/>
          <w:sz w:val="24"/>
        </w:rPr>
        <w:t>时间：</w:t>
      </w:r>
      <w:r>
        <w:rPr>
          <w:rFonts w:hint="eastAsia" w:ascii="宋体" w:hAnsi="宋体"/>
          <w:color w:val="FF0000"/>
          <w:sz w:val="24"/>
          <w:u w:val="single"/>
        </w:rPr>
        <w:t>2024</w:t>
      </w:r>
      <w:r>
        <w:rPr>
          <w:rFonts w:hint="eastAsia" w:ascii="宋体" w:hAnsi="宋体"/>
          <w:bCs/>
          <w:color w:val="FF0000"/>
          <w:sz w:val="24"/>
          <w:u w:val="single"/>
        </w:rPr>
        <w:t>年5月27日1</w:t>
      </w:r>
      <w:r>
        <w:rPr>
          <w:rFonts w:ascii="宋体" w:hAnsi="宋体"/>
          <w:bCs/>
          <w:color w:val="FF0000"/>
          <w:sz w:val="24"/>
          <w:u w:val="single"/>
        </w:rPr>
        <w:t>0</w:t>
      </w:r>
      <w:r>
        <w:rPr>
          <w:rFonts w:hint="eastAsia" w:ascii="宋体" w:hAnsi="宋体"/>
          <w:bCs/>
          <w:color w:val="FF0000"/>
          <w:sz w:val="24"/>
          <w:u w:val="single"/>
        </w:rPr>
        <w:t>点</w:t>
      </w:r>
      <w:r>
        <w:rPr>
          <w:rFonts w:ascii="宋体" w:hAnsi="宋体"/>
          <w:bCs/>
          <w:color w:val="FF0000"/>
          <w:sz w:val="24"/>
          <w:u w:val="single"/>
        </w:rPr>
        <w:t>0</w:t>
      </w:r>
      <w:r>
        <w:rPr>
          <w:rFonts w:hint="eastAsia" w:ascii="宋体" w:hAnsi="宋体"/>
          <w:bCs/>
          <w:color w:val="FF0000"/>
          <w:sz w:val="24"/>
          <w:u w:val="single"/>
        </w:rPr>
        <w:t>0分</w:t>
      </w:r>
      <w:r>
        <w:rPr>
          <w:rFonts w:hint="eastAsia" w:ascii="宋体" w:hAnsi="宋体"/>
          <w:bCs/>
          <w:color w:val="FF0000"/>
          <w:sz w:val="24"/>
        </w:rPr>
        <w:t>（北京时间）</w:t>
      </w:r>
    </w:p>
    <w:p>
      <w:pPr>
        <w:spacing w:line="360" w:lineRule="auto"/>
        <w:ind w:firstLine="1200"/>
        <w:rPr>
          <w:rFonts w:ascii="宋体" w:hAnsi="宋体"/>
          <w:color w:val="000000"/>
          <w:sz w:val="24"/>
          <w:u w:val="single"/>
        </w:rPr>
      </w:pPr>
      <w:r>
        <w:rPr>
          <w:rFonts w:hint="eastAsia" w:ascii="宋体" w:hAnsi="宋体"/>
          <w:sz w:val="24"/>
        </w:rPr>
        <w:t>地点：</w:t>
      </w:r>
      <w:r>
        <w:rPr>
          <w:rFonts w:hint="eastAsia" w:ascii="宋体" w:hAnsi="宋体"/>
          <w:color w:val="000000"/>
          <w:sz w:val="24"/>
          <w:u w:val="single"/>
        </w:rPr>
        <w:t>北京市怀柔区雁栖经济开发区杨雁东一路8号</w:t>
      </w:r>
    </w:p>
    <w:p>
      <w:pPr>
        <w:spacing w:line="360" w:lineRule="auto"/>
        <w:ind w:firstLine="1405"/>
        <w:rPr>
          <w:rFonts w:ascii="宋体" w:hAnsi="宋体" w:cs="宋体"/>
          <w:b/>
          <w:sz w:val="28"/>
        </w:rPr>
      </w:pPr>
      <w:r>
        <w:rPr>
          <w:rFonts w:hint="eastAsia" w:ascii="宋体" w:hAnsi="宋体" w:cs="宋体"/>
          <w:b/>
          <w:sz w:val="28"/>
        </w:rPr>
        <w:t>六、公告期限</w:t>
      </w:r>
    </w:p>
    <w:p>
      <w:pPr>
        <w:spacing w:line="360" w:lineRule="auto"/>
        <w:ind w:firstLine="360" w:firstLineChars="150"/>
        <w:rPr>
          <w:rFonts w:ascii="宋体" w:hAnsi="宋体" w:cs="宋体"/>
          <w:bCs/>
          <w:sz w:val="24"/>
        </w:rPr>
      </w:pPr>
      <w:r>
        <w:rPr>
          <w:rFonts w:hint="eastAsia" w:ascii="宋体" w:hAnsi="宋体" w:cs="宋体"/>
          <w:bCs/>
          <w:sz w:val="24"/>
        </w:rPr>
        <w:t>自本公告发布之日起5个工作日</w:t>
      </w:r>
    </w:p>
    <w:p>
      <w:pPr>
        <w:spacing w:line="360" w:lineRule="auto"/>
        <w:ind w:firstLine="1405"/>
        <w:rPr>
          <w:u w:val="single"/>
          <w:lang w:val="zh-CN"/>
        </w:rPr>
      </w:pPr>
      <w:bookmarkStart w:id="22" w:name="_Toc35393804"/>
      <w:bookmarkStart w:id="23" w:name="_Toc35393635"/>
      <w:r>
        <w:rPr>
          <w:rFonts w:hint="eastAsia" w:ascii="宋体" w:hAnsi="宋体" w:cs="宋体"/>
          <w:b/>
          <w:sz w:val="28"/>
        </w:rPr>
        <w:t>七、</w:t>
      </w:r>
      <w:bookmarkEnd w:id="22"/>
      <w:bookmarkEnd w:id="23"/>
      <w:bookmarkStart w:id="24" w:name="_Toc35393636"/>
      <w:bookmarkStart w:id="25" w:name="_Toc28359095"/>
      <w:bookmarkStart w:id="26" w:name="_Toc28359018"/>
      <w:bookmarkStart w:id="27" w:name="_Toc35393805"/>
      <w:r>
        <w:rPr>
          <w:rFonts w:hint="eastAsia" w:ascii="宋体" w:hAnsi="宋体" w:cs="宋体"/>
          <w:b/>
          <w:sz w:val="28"/>
        </w:rPr>
        <w:t>凡对本次采购提出询问，请按以下方式联系。</w:t>
      </w:r>
      <w:bookmarkEnd w:id="24"/>
      <w:bookmarkEnd w:id="25"/>
      <w:bookmarkEnd w:id="26"/>
      <w:bookmarkEnd w:id="27"/>
    </w:p>
    <w:p>
      <w:pPr>
        <w:widowControl/>
        <w:spacing w:line="360" w:lineRule="auto"/>
        <w:ind w:firstLine="480" w:firstLineChars="200"/>
        <w:rPr>
          <w:rFonts w:ascii="宋体" w:hAnsi="宋体"/>
          <w:sz w:val="24"/>
        </w:rPr>
      </w:pPr>
      <w:r>
        <w:rPr>
          <w:rFonts w:hint="eastAsia" w:ascii="宋体" w:hAnsi="宋体" w:cs="宋体"/>
          <w:sz w:val="24"/>
        </w:rPr>
        <w:t>1.采购人信息</w:t>
      </w:r>
    </w:p>
    <w:p>
      <w:pPr>
        <w:spacing w:line="360" w:lineRule="auto"/>
        <w:ind w:left="420" w:leftChars="200" w:firstLine="240" w:firstLineChars="100"/>
        <w:rPr>
          <w:rFonts w:ascii="宋体" w:hAnsi="宋体"/>
          <w:sz w:val="24"/>
        </w:rPr>
      </w:pPr>
      <w:r>
        <w:rPr>
          <w:rFonts w:hint="eastAsia" w:ascii="宋体" w:hAnsi="宋体"/>
          <w:sz w:val="24"/>
        </w:rPr>
        <w:t>名 称：</w:t>
      </w:r>
      <w:r>
        <w:rPr>
          <w:rFonts w:hint="eastAsia" w:ascii="宋体" w:hAnsi="宋体"/>
          <w:color w:val="000000"/>
          <w:sz w:val="24"/>
          <w:u w:val="single"/>
        </w:rPr>
        <w:t>北京纳米能源与系统研究所</w:t>
      </w:r>
    </w:p>
    <w:p>
      <w:pPr>
        <w:spacing w:line="360" w:lineRule="auto"/>
        <w:ind w:left="420" w:leftChars="200" w:firstLine="240" w:firstLineChars="100"/>
        <w:rPr>
          <w:rFonts w:ascii="宋体" w:hAnsi="宋体"/>
          <w:sz w:val="24"/>
        </w:rPr>
      </w:pPr>
      <w:r>
        <w:rPr>
          <w:rFonts w:hint="eastAsia" w:ascii="宋体" w:hAnsi="宋体"/>
          <w:sz w:val="24"/>
        </w:rPr>
        <w:t>地址：</w:t>
      </w:r>
      <w:r>
        <w:rPr>
          <w:rFonts w:hint="eastAsia" w:ascii="宋体" w:hAnsi="宋体"/>
          <w:color w:val="000000"/>
          <w:sz w:val="24"/>
          <w:u w:val="single"/>
        </w:rPr>
        <w:t>北京市怀柔区雁栖经济开发区杨雁东一路8号</w:t>
      </w:r>
    </w:p>
    <w:p>
      <w:pPr>
        <w:spacing w:line="360" w:lineRule="auto"/>
        <w:ind w:left="420" w:leftChars="200" w:firstLine="240" w:firstLineChars="100"/>
        <w:rPr>
          <w:rFonts w:ascii="宋体" w:hAnsi="宋体"/>
          <w:color w:val="000000"/>
          <w:sz w:val="24"/>
          <w:u w:val="single"/>
        </w:rPr>
      </w:pPr>
      <w:r>
        <w:rPr>
          <w:rFonts w:hint="eastAsia" w:ascii="宋体" w:hAnsi="宋体"/>
          <w:sz w:val="24"/>
        </w:rPr>
        <w:t>联系方式：</w:t>
      </w:r>
      <w:r>
        <w:rPr>
          <w:rFonts w:hint="eastAsia" w:ascii="宋体" w:hAnsi="宋体"/>
          <w:color w:val="000000"/>
          <w:sz w:val="24"/>
          <w:u w:val="single"/>
        </w:rPr>
        <w:t>王老师/</w:t>
      </w:r>
      <w:bookmarkStart w:id="28" w:name="_Toc28359086"/>
      <w:bookmarkStart w:id="29" w:name="_Toc28359009"/>
      <w:r>
        <w:rPr>
          <w:rFonts w:hint="eastAsia" w:ascii="宋体" w:hAnsi="宋体"/>
          <w:color w:val="000000"/>
          <w:sz w:val="24"/>
          <w:u w:val="single"/>
        </w:rPr>
        <w:t>010-60688778</w:t>
      </w:r>
    </w:p>
    <w:p>
      <w:pPr>
        <w:spacing w:line="360" w:lineRule="auto"/>
        <w:ind w:left="420" w:leftChars="200" w:firstLine="240" w:firstLineChars="100"/>
        <w:rPr>
          <w:rFonts w:ascii="宋体" w:hAnsi="宋体"/>
          <w:sz w:val="24"/>
          <w:u w:val="single"/>
        </w:rPr>
      </w:pPr>
      <w:r>
        <w:rPr>
          <w:rFonts w:hint="eastAsia" w:ascii="宋体" w:hAnsi="宋体"/>
          <w:sz w:val="24"/>
        </w:rPr>
        <w:t>邮  箱：</w:t>
      </w:r>
      <w:r>
        <w:rPr>
          <w:rFonts w:hint="eastAsia" w:ascii="宋体" w:hAnsi="宋体"/>
          <w:sz w:val="24"/>
          <w:u w:val="single"/>
        </w:rPr>
        <w:t xml:space="preserve"> wanghuiqun@binn.cas.cn</w:t>
      </w:r>
      <w:bookmarkEnd w:id="28"/>
      <w:bookmarkEnd w:id="29"/>
      <w:bookmarkStart w:id="30" w:name="_Toc28359087"/>
      <w:bookmarkStart w:id="31" w:name="_Toc28359010"/>
      <w:r>
        <w:rPr>
          <w:rFonts w:ascii="宋体" w:hAnsi="宋体"/>
          <w:sz w:val="24"/>
        </w:rPr>
        <w:t xml:space="preserve"> </w:t>
      </w:r>
    </w:p>
    <w:bookmarkEnd w:id="30"/>
    <w:bookmarkEnd w:id="31"/>
    <w:p>
      <w:pPr>
        <w:widowControl/>
        <w:spacing w:line="360" w:lineRule="auto"/>
        <w:ind w:firstLine="1200"/>
        <w:jc w:val="left"/>
        <w:rPr>
          <w:rFonts w:ascii="宋体" w:hAnsi="宋体"/>
          <w:sz w:val="24"/>
        </w:rPr>
        <w:sectPr>
          <w:pgSz w:w="11906" w:h="16838"/>
          <w:pgMar w:top="1418" w:right="1418" w:bottom="1418" w:left="1418" w:header="851" w:footer="992" w:gutter="0"/>
          <w:cols w:space="720" w:num="1"/>
        </w:sectPr>
      </w:pPr>
    </w:p>
    <w:bookmarkEnd w:id="0"/>
    <w:p>
      <w:pPr>
        <w:pStyle w:val="2"/>
        <w:jc w:val="center"/>
        <w:rPr>
          <w:sz w:val="36"/>
        </w:rPr>
      </w:pPr>
      <w:bookmarkStart w:id="32" w:name="_Toc500278620"/>
      <w:bookmarkStart w:id="33" w:name="_Toc42114260"/>
      <w:bookmarkStart w:id="34" w:name="_Hlk131001780"/>
      <w:r>
        <w:rPr>
          <w:rFonts w:hint="eastAsia"/>
          <w:sz w:val="36"/>
        </w:rPr>
        <w:t>第二部分</w:t>
      </w:r>
      <w:r>
        <w:rPr>
          <w:sz w:val="36"/>
        </w:rPr>
        <w:t xml:space="preserve"> </w:t>
      </w:r>
      <w:r>
        <w:rPr>
          <w:rFonts w:hint="eastAsia"/>
          <w:sz w:val="36"/>
        </w:rPr>
        <w:t>供应商须知</w:t>
      </w:r>
      <w:bookmarkEnd w:id="32"/>
      <w:bookmarkEnd w:id="33"/>
      <w:bookmarkStart w:id="193" w:name="_GoBack"/>
      <w:bookmarkEnd w:id="193"/>
    </w:p>
    <w:p>
      <w:pPr>
        <w:pStyle w:val="3"/>
        <w:jc w:val="center"/>
      </w:pPr>
      <w:bookmarkStart w:id="35" w:name="_Toc20230405"/>
      <w:bookmarkStart w:id="36" w:name="_Toc500278621"/>
      <w:bookmarkStart w:id="37" w:name="_Toc4507604"/>
      <w:bookmarkStart w:id="38" w:name="_Toc4441210"/>
      <w:bookmarkStart w:id="39" w:name="_Toc4507824"/>
      <w:r>
        <w:rPr>
          <w:rFonts w:hint="eastAsia"/>
        </w:rPr>
        <w:t>供应商须知前附表</w:t>
      </w:r>
      <w:bookmarkEnd w:id="35"/>
      <w:bookmarkEnd w:id="36"/>
      <w:bookmarkEnd w:id="37"/>
      <w:bookmarkEnd w:id="38"/>
      <w:bookmarkEnd w:id="39"/>
    </w:p>
    <w:tbl>
      <w:tblPr>
        <w:tblStyle w:val="41"/>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906"/>
        <w:gridCol w:w="6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56"/>
              <w:jc w:val="both"/>
              <w:rPr>
                <w:rFonts w:ascii="宋体" w:hAnsi="宋体" w:cs="宋体"/>
                <w:b/>
                <w:sz w:val="24"/>
              </w:rPr>
            </w:pPr>
            <w:r>
              <w:rPr>
                <w:rFonts w:hint="eastAsia" w:ascii="宋体" w:hAnsi="宋体" w:cs="宋体"/>
                <w:b/>
                <w:sz w:val="24"/>
              </w:rPr>
              <w:t>序号</w:t>
            </w: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b/>
                <w:sz w:val="24"/>
              </w:rPr>
            </w:pPr>
            <w:r>
              <w:rPr>
                <w:rFonts w:hint="eastAsia" w:ascii="宋体" w:hAnsi="宋体" w:cs="宋体"/>
                <w:b/>
                <w:sz w:val="24"/>
              </w:rPr>
              <w:t>内容</w:t>
            </w:r>
          </w:p>
        </w:tc>
        <w:tc>
          <w:tcPr>
            <w:tcW w:w="6418" w:type="dxa"/>
            <w:tcBorders>
              <w:top w:val="single" w:color="auto" w:sz="4" w:space="0"/>
              <w:left w:val="single" w:color="auto" w:sz="4" w:space="0"/>
              <w:bottom w:val="single" w:color="auto" w:sz="4" w:space="0"/>
              <w:right w:val="single" w:color="auto" w:sz="4" w:space="0"/>
            </w:tcBorders>
            <w:vAlign w:val="center"/>
          </w:tcPr>
          <w:p>
            <w:pPr>
              <w:tabs>
                <w:tab w:val="left" w:pos="1180"/>
              </w:tabs>
              <w:snapToGrid w:val="0"/>
              <w:spacing w:line="276" w:lineRule="auto"/>
              <w:jc w:val="center"/>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项目名称</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sz w:val="24"/>
              </w:rPr>
              <w:t>北京纳米能源与系统研究所2024空调系统维护保养项目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服务地点</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sz w:val="24"/>
              </w:rPr>
              <w:t>北京市怀柔区雁栖经济开发区杨雁东一路8号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预算金额</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olor w:val="FF0000"/>
                <w:sz w:val="24"/>
              </w:rPr>
              <w:t>17万元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nil"/>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采购人</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bCs/>
                <w:sz w:val="24"/>
              </w:rPr>
            </w:pPr>
            <w:r>
              <w:rPr>
                <w:rFonts w:hint="eastAsia" w:ascii="宋体" w:hAnsi="宋体" w:cs="宋体"/>
                <w:bCs/>
                <w:sz w:val="24"/>
              </w:rPr>
              <w:t>采购人：北京纳米能源与系统研究所</w:t>
            </w:r>
          </w:p>
          <w:p>
            <w:pPr>
              <w:snapToGrid w:val="0"/>
              <w:spacing w:line="276" w:lineRule="auto"/>
              <w:rPr>
                <w:rFonts w:ascii="宋体" w:hAnsi="宋体" w:cs="宋体"/>
                <w:sz w:val="24"/>
              </w:rPr>
            </w:pPr>
            <w:r>
              <w:rPr>
                <w:rFonts w:hint="eastAsia" w:ascii="宋体" w:hAnsi="宋体" w:cs="宋体"/>
                <w:bCs/>
                <w:sz w:val="24"/>
              </w:rPr>
              <w:t>地址：</w:t>
            </w:r>
            <w:r>
              <w:rPr>
                <w:rFonts w:hint="eastAsia" w:ascii="宋体" w:hAnsi="宋体" w:cs="宋体"/>
                <w:sz w:val="24"/>
              </w:rPr>
              <w:t>北京市怀柔区雁栖经济开发区杨雁东一路8号</w:t>
            </w:r>
          </w:p>
          <w:p>
            <w:pPr>
              <w:snapToGrid w:val="0"/>
              <w:spacing w:line="276" w:lineRule="auto"/>
              <w:rPr>
                <w:rFonts w:ascii="宋体" w:hAnsi="宋体" w:cs="宋体"/>
                <w:sz w:val="24"/>
              </w:rPr>
            </w:pPr>
            <w:r>
              <w:rPr>
                <w:rFonts w:hint="eastAsia" w:ascii="宋体" w:hAnsi="宋体" w:cs="宋体"/>
                <w:sz w:val="24"/>
              </w:rPr>
              <w:t>联系人：王老师</w:t>
            </w:r>
          </w:p>
          <w:p>
            <w:pPr>
              <w:snapToGrid w:val="0"/>
              <w:spacing w:line="276" w:lineRule="auto"/>
              <w:rPr>
                <w:rFonts w:ascii="宋体" w:hAnsi="宋体" w:cs="宋体"/>
                <w:bCs/>
                <w:sz w:val="24"/>
              </w:rPr>
            </w:pPr>
            <w:r>
              <w:rPr>
                <w:rFonts w:hint="eastAsia" w:ascii="宋体" w:hAnsi="宋体" w:cs="宋体"/>
                <w:sz w:val="24"/>
              </w:rPr>
              <w:t>电话：010-60688778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nil"/>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采购代理机构</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bCs/>
                <w:sz w:val="24"/>
              </w:rPr>
            </w:pPr>
            <w:r>
              <w:rPr>
                <w:rFonts w:hint="eastAsia" w:ascii="宋体" w:hAnsi="宋体" w:cs="宋体"/>
                <w:bCs/>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磋商周期</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color w:val="FF0000"/>
                <w:sz w:val="24"/>
              </w:rPr>
              <w:t>2024年5月16日至2024年5月2</w:t>
            </w:r>
            <w:r>
              <w:rPr>
                <w:rFonts w:hint="eastAsia" w:ascii="宋体" w:hAnsi="宋体" w:cs="宋体"/>
                <w:color w:val="FF0000"/>
                <w:sz w:val="24"/>
                <w:lang w:val="en-US" w:eastAsia="zh-CN"/>
              </w:rPr>
              <w:t>3</w:t>
            </w:r>
            <w:r>
              <w:rPr>
                <w:rFonts w:hint="eastAsia" w:ascii="宋体" w:hAnsi="宋体" w:cs="宋体"/>
                <w:color w:val="FF0000"/>
                <w:sz w:val="24"/>
              </w:rPr>
              <w:t>日在我所网站公布竞争性磋商文件，响应文件递交截止时间为</w:t>
            </w:r>
            <w:r>
              <w:rPr>
                <w:rFonts w:hint="eastAsia" w:ascii="宋体" w:hAnsi="宋体"/>
                <w:color w:val="FF0000"/>
                <w:sz w:val="24"/>
              </w:rPr>
              <w:t>2023年5月27日1</w:t>
            </w:r>
            <w:r>
              <w:rPr>
                <w:rFonts w:ascii="宋体" w:hAnsi="宋体"/>
                <w:color w:val="FF0000"/>
                <w:sz w:val="24"/>
              </w:rPr>
              <w:t>0</w:t>
            </w:r>
            <w:r>
              <w:rPr>
                <w:rFonts w:hint="eastAsia" w:ascii="宋体" w:hAnsi="宋体"/>
                <w:color w:val="FF0000"/>
                <w:sz w:val="24"/>
              </w:rPr>
              <w:t>时</w:t>
            </w:r>
            <w:r>
              <w:rPr>
                <w:rFonts w:ascii="宋体" w:hAnsi="宋体"/>
                <w:color w:val="FF0000"/>
                <w:sz w:val="24"/>
              </w:rPr>
              <w:t>0</w:t>
            </w:r>
            <w:r>
              <w:rPr>
                <w:rFonts w:hint="eastAsia" w:ascii="宋体" w:hAnsi="宋体"/>
                <w:color w:val="FF0000"/>
                <w:sz w:val="24"/>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磋商范围</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bCs/>
                <w:sz w:val="24"/>
              </w:rPr>
              <w:t>园区空调制冷系统维保。具体详见“第五部分采购需求”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供应商资格要求</w:t>
            </w:r>
          </w:p>
        </w:tc>
        <w:tc>
          <w:tcPr>
            <w:tcW w:w="6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olor w:val="000000"/>
                <w:sz w:val="24"/>
              </w:rPr>
              <w:t>1.符合《中华人民共和国政府采购法》第二十二条要求；</w:t>
            </w:r>
          </w:p>
          <w:p>
            <w:pPr>
              <w:tabs>
                <w:tab w:val="left" w:pos="540"/>
              </w:tabs>
              <w:spacing w:line="360" w:lineRule="auto"/>
              <w:ind w:firstLine="240" w:firstLineChars="100"/>
              <w:rPr>
                <w:rFonts w:ascii="宋体" w:hAnsi="宋体"/>
                <w:color w:val="000000"/>
                <w:sz w:val="24"/>
              </w:rPr>
            </w:pPr>
            <w:r>
              <w:rPr>
                <w:rFonts w:hint="eastAsia" w:ascii="宋体" w:hAnsi="宋体"/>
                <w:color w:val="000000"/>
                <w:sz w:val="24"/>
              </w:rPr>
              <w:t>（1）具有独立承担民事责任的能力</w:t>
            </w:r>
          </w:p>
          <w:p>
            <w:pPr>
              <w:tabs>
                <w:tab w:val="left" w:pos="540"/>
              </w:tabs>
              <w:spacing w:line="360" w:lineRule="auto"/>
              <w:ind w:firstLine="240" w:firstLineChars="100"/>
              <w:rPr>
                <w:rFonts w:ascii="宋体" w:hAnsi="宋体"/>
                <w:color w:val="000000"/>
                <w:sz w:val="24"/>
              </w:rPr>
            </w:pPr>
            <w:r>
              <w:rPr>
                <w:rFonts w:hint="eastAsia" w:ascii="宋体" w:hAnsi="宋体"/>
                <w:color w:val="000000"/>
                <w:sz w:val="24"/>
              </w:rPr>
              <w:t>（2）具有良好的商业信誉和健全的财务会计制度；</w:t>
            </w:r>
          </w:p>
          <w:p>
            <w:pPr>
              <w:tabs>
                <w:tab w:val="left" w:pos="540"/>
              </w:tabs>
              <w:spacing w:line="360" w:lineRule="auto"/>
              <w:ind w:firstLine="240" w:firstLineChars="100"/>
              <w:rPr>
                <w:rFonts w:ascii="宋体" w:hAnsi="宋体"/>
                <w:color w:val="000000"/>
                <w:sz w:val="24"/>
              </w:rPr>
            </w:pPr>
            <w:r>
              <w:rPr>
                <w:rFonts w:hint="eastAsia" w:ascii="宋体" w:hAnsi="宋体"/>
                <w:color w:val="000000"/>
                <w:sz w:val="24"/>
              </w:rPr>
              <w:t>（3）具有履行合同所必需的设备和专业技术能力；</w:t>
            </w:r>
          </w:p>
          <w:p>
            <w:pPr>
              <w:tabs>
                <w:tab w:val="left" w:pos="540"/>
              </w:tabs>
              <w:spacing w:line="360" w:lineRule="auto"/>
              <w:ind w:firstLine="240" w:firstLineChars="100"/>
              <w:rPr>
                <w:rFonts w:ascii="宋体" w:hAnsi="宋体"/>
                <w:color w:val="000000"/>
                <w:sz w:val="24"/>
              </w:rPr>
            </w:pPr>
            <w:r>
              <w:rPr>
                <w:rFonts w:hint="eastAsia" w:ascii="宋体" w:hAnsi="宋体"/>
                <w:color w:val="000000"/>
                <w:sz w:val="24"/>
              </w:rPr>
              <w:t>（4）有依法缴纳税收和社会保障资金的良好记录；</w:t>
            </w:r>
          </w:p>
          <w:p>
            <w:pPr>
              <w:tabs>
                <w:tab w:val="left" w:pos="540"/>
              </w:tabs>
              <w:spacing w:line="360" w:lineRule="auto"/>
              <w:ind w:firstLine="240" w:firstLineChars="100"/>
              <w:rPr>
                <w:rFonts w:ascii="宋体" w:hAnsi="宋体"/>
                <w:color w:val="000000"/>
                <w:sz w:val="24"/>
              </w:rPr>
            </w:pPr>
            <w:r>
              <w:rPr>
                <w:rFonts w:hint="eastAsia" w:ascii="宋体" w:hAnsi="宋体"/>
                <w:color w:val="000000"/>
                <w:sz w:val="24"/>
              </w:rPr>
              <w:t>（5）参加政府采购活动前三年内，在经营活动中没有重大违法记录；</w:t>
            </w:r>
          </w:p>
          <w:p>
            <w:pPr>
              <w:tabs>
                <w:tab w:val="left" w:pos="540"/>
              </w:tabs>
              <w:spacing w:line="360" w:lineRule="auto"/>
              <w:ind w:firstLine="240" w:firstLineChars="100"/>
              <w:rPr>
                <w:rFonts w:ascii="宋体" w:hAnsi="宋体"/>
                <w:color w:val="000000"/>
                <w:sz w:val="24"/>
              </w:rPr>
            </w:pPr>
            <w:r>
              <w:rPr>
                <w:rFonts w:hint="eastAsia" w:ascii="宋体" w:hAnsi="宋体"/>
                <w:color w:val="000000"/>
                <w:sz w:val="24"/>
              </w:rPr>
              <w:t>（6）法律、行政法规规定的其他条件。</w:t>
            </w:r>
          </w:p>
          <w:p>
            <w:pPr>
              <w:tabs>
                <w:tab w:val="left" w:pos="540"/>
              </w:tabs>
              <w:spacing w:line="360" w:lineRule="auto"/>
              <w:jc w:val="left"/>
              <w:rPr>
                <w:rFonts w:ascii="宋体" w:hAnsi="宋体" w:cs="宋体"/>
                <w:sz w:val="24"/>
              </w:rPr>
            </w:pPr>
            <w:r>
              <w:rPr>
                <w:rFonts w:hint="eastAsia" w:ascii="宋体" w:hAnsi="宋体" w:cs="宋体"/>
                <w:sz w:val="24"/>
              </w:rPr>
              <w:t>2.通过“信用中国”网站（https://www.creditchina.gov.cn/）查询记录，未被列入失信被执行人、重大税收违法案件当事人名单；</w:t>
            </w:r>
          </w:p>
          <w:p>
            <w:pPr>
              <w:tabs>
                <w:tab w:val="left" w:pos="540"/>
              </w:tabs>
              <w:spacing w:line="360" w:lineRule="auto"/>
              <w:jc w:val="left"/>
              <w:rPr>
                <w:rFonts w:ascii="宋体" w:hAnsi="宋体" w:cs="宋体"/>
                <w:sz w:val="24"/>
              </w:rPr>
            </w:pPr>
            <w:r>
              <w:rPr>
                <w:rFonts w:hint="eastAsia" w:ascii="宋体" w:hAnsi="宋体" w:cs="宋体"/>
                <w:sz w:val="24"/>
              </w:rPr>
              <w:t>3.通过“中国政府采购网”网站（</w:t>
            </w:r>
            <w:r>
              <w:fldChar w:fldCharType="begin"/>
            </w:r>
            <w:r>
              <w:instrText xml:space="preserve"> HYPERLINK "http://www.ccgp.gov.cn/search/cr/" </w:instrText>
            </w:r>
            <w:r>
              <w:fldChar w:fldCharType="separate"/>
            </w:r>
            <w:r>
              <w:rPr>
                <w:rStyle w:val="46"/>
                <w:rFonts w:hint="eastAsia" w:ascii="宋体" w:hAnsi="宋体" w:cs="宋体"/>
                <w:sz w:val="24"/>
              </w:rPr>
              <w:t>http://www.ccgp.gov.cn/search/cr/</w:t>
            </w:r>
            <w:r>
              <w:rPr>
                <w:rStyle w:val="46"/>
                <w:rFonts w:hint="eastAsia" w:ascii="宋体" w:hAnsi="宋体" w:cs="宋体"/>
                <w:sz w:val="24"/>
              </w:rPr>
              <w:fldChar w:fldCharType="end"/>
            </w:r>
            <w:r>
              <w:rPr>
                <w:rFonts w:hint="eastAsia" w:ascii="宋体" w:hAnsi="宋体" w:cs="宋体"/>
                <w:sz w:val="24"/>
              </w:rPr>
              <w:t>）查询记录，未被列入</w:t>
            </w:r>
            <w:r>
              <w:fldChar w:fldCharType="begin"/>
            </w:r>
            <w:r>
              <w:instrText xml:space="preserve"> HYPERLINK "http://www.ccgp.gov.cn/search/cr/" \o "政府采购严重违法失信行为记录名单" </w:instrText>
            </w:r>
            <w:r>
              <w:fldChar w:fldCharType="separate"/>
            </w:r>
            <w:r>
              <w:rPr>
                <w:rStyle w:val="46"/>
                <w:rFonts w:hint="eastAsia" w:ascii="宋体" w:hAnsi="宋体" w:cs="宋体"/>
                <w:sz w:val="24"/>
              </w:rPr>
              <w:t>政府采购严重违法失信行为记录名单</w:t>
            </w:r>
            <w:r>
              <w:rPr>
                <w:rStyle w:val="46"/>
                <w:rFonts w:hint="eastAsia" w:ascii="宋体" w:hAnsi="宋体" w:cs="宋体"/>
                <w:sz w:val="24"/>
              </w:rPr>
              <w:fldChar w:fldCharType="end"/>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4.必须已获取磋商文件并登记，否则没有资格磋商；</w:t>
            </w:r>
          </w:p>
          <w:p>
            <w:pPr>
              <w:spacing w:line="360" w:lineRule="auto"/>
              <w:ind w:firstLine="1200"/>
              <w:rPr>
                <w:rFonts w:ascii="宋体" w:hAnsi="宋体" w:cs="宋体"/>
                <w:sz w:val="24"/>
              </w:rPr>
            </w:pPr>
            <w:r>
              <w:rPr>
                <w:rFonts w:ascii="宋体" w:hAnsi="宋体" w:cs="宋体"/>
                <w:sz w:val="24"/>
              </w:rPr>
              <w:t>5</w:t>
            </w:r>
            <w:r>
              <w:rPr>
                <w:rFonts w:hint="eastAsia" w:ascii="宋体" w:hAnsi="宋体" w:cs="宋体"/>
                <w:sz w:val="24"/>
              </w:rPr>
              <w:t>.不接受联合体磋商。</w:t>
            </w:r>
          </w:p>
          <w:p>
            <w:pPr>
              <w:spacing w:line="360" w:lineRule="auto"/>
              <w:rPr>
                <w:rFonts w:ascii="宋体" w:hAnsi="宋体" w:cs="宋体"/>
                <w:sz w:val="24"/>
              </w:rPr>
            </w:pPr>
            <w:r>
              <w:rPr>
                <w:rFonts w:hint="eastAsia" w:ascii="宋体" w:hAnsi="宋体" w:cs="宋体"/>
                <w:sz w:val="24"/>
              </w:rPr>
              <w:t>6.中央空调系统维护保养相关资质证书（A类或D类）。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招标方式</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sz w:val="24"/>
              </w:rPr>
              <w:t>采用竞争性磋商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磋商预备会议</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bCs/>
                <w:sz w:val="24"/>
              </w:rPr>
              <w:t>不安排，如有问题，可与采购人另行联系。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踏勘现场</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olor w:val="000000"/>
                <w:sz w:val="24"/>
              </w:rPr>
            </w:pPr>
            <w:r>
              <w:rPr>
                <w:rFonts w:hint="eastAsia" w:ascii="宋体" w:hAnsi="宋体" w:cs="宋体"/>
                <w:bCs/>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供应商疑问及澄清</w:t>
            </w:r>
          </w:p>
        </w:tc>
        <w:tc>
          <w:tcPr>
            <w:tcW w:w="6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color w:val="FF0000"/>
                <w:sz w:val="24"/>
              </w:rPr>
            </w:pPr>
            <w:r>
              <w:rPr>
                <w:rFonts w:hint="eastAsia" w:ascii="宋体" w:hAnsi="宋体" w:cs="宋体"/>
                <w:sz w:val="24"/>
              </w:rPr>
              <w:t>接收疑问截止时间：</w:t>
            </w:r>
            <w:r>
              <w:rPr>
                <w:rFonts w:hint="eastAsia" w:ascii="宋体" w:hAnsi="宋体" w:cs="宋体"/>
                <w:color w:val="FF0000"/>
                <w:sz w:val="24"/>
              </w:rPr>
              <w:t>2024年5月2</w:t>
            </w:r>
            <w:r>
              <w:rPr>
                <w:rFonts w:hint="eastAsia" w:ascii="宋体" w:hAnsi="宋体" w:cs="宋体"/>
                <w:color w:val="FF0000"/>
                <w:sz w:val="24"/>
                <w:lang w:val="en-US" w:eastAsia="zh-CN"/>
              </w:rPr>
              <w:t>4</w:t>
            </w:r>
            <w:r>
              <w:rPr>
                <w:rFonts w:hint="eastAsia" w:ascii="宋体" w:hAnsi="宋体" w:cs="宋体"/>
                <w:color w:val="FF0000"/>
                <w:sz w:val="24"/>
              </w:rPr>
              <w:t xml:space="preserve"> 日1</w:t>
            </w:r>
            <w:r>
              <w:rPr>
                <w:rFonts w:ascii="宋体" w:hAnsi="宋体" w:cs="宋体"/>
                <w:color w:val="FF0000"/>
                <w:sz w:val="24"/>
              </w:rPr>
              <w:t>0</w:t>
            </w:r>
            <w:r>
              <w:rPr>
                <w:rFonts w:hint="eastAsia" w:ascii="宋体" w:hAnsi="宋体" w:cs="宋体"/>
                <w:color w:val="FF0000"/>
                <w:sz w:val="24"/>
              </w:rPr>
              <w:t>时00分之前</w:t>
            </w:r>
          </w:p>
          <w:p>
            <w:pPr>
              <w:tabs>
                <w:tab w:val="left" w:pos="1180"/>
              </w:tabs>
              <w:snapToGrid w:val="0"/>
              <w:spacing w:line="276" w:lineRule="auto"/>
              <w:rPr>
                <w:rFonts w:ascii="宋体" w:hAnsi="宋体" w:cs="宋体"/>
                <w:color w:val="FF0000"/>
                <w:sz w:val="24"/>
              </w:rPr>
            </w:pPr>
            <w:r>
              <w:rPr>
                <w:rFonts w:hint="eastAsia" w:ascii="宋体" w:hAnsi="宋体" w:cs="宋体"/>
                <w:color w:val="FF0000"/>
                <w:sz w:val="24"/>
              </w:rPr>
              <w:t>供应商收到确认时间：24小时内</w:t>
            </w:r>
          </w:p>
          <w:p>
            <w:pPr>
              <w:snapToGrid w:val="0"/>
              <w:spacing w:line="276" w:lineRule="auto"/>
              <w:rPr>
                <w:rFonts w:ascii="宋体" w:hAnsi="宋体" w:cs="宋体"/>
                <w:bCs/>
                <w:sz w:val="24"/>
              </w:rPr>
            </w:pPr>
            <w:bookmarkStart w:id="40" w:name="_Toc3284264"/>
            <w:bookmarkStart w:id="41" w:name="_Toc4746100"/>
            <w:bookmarkStart w:id="42" w:name="_Toc4507825"/>
            <w:bookmarkStart w:id="43" w:name="_Toc4441211"/>
            <w:bookmarkStart w:id="44" w:name="_Toc3115113"/>
            <w:bookmarkStart w:id="45" w:name="_Toc4507605"/>
            <w:bookmarkStart w:id="46" w:name="_Toc4685118"/>
            <w:bookmarkStart w:id="47" w:name="_Toc4618243"/>
            <w:r>
              <w:rPr>
                <w:rFonts w:hint="eastAsia" w:ascii="宋体" w:hAnsi="宋体" w:cs="宋体"/>
                <w:bCs/>
                <w:sz w:val="24"/>
              </w:rPr>
              <w:t>联系人：王老师</w:t>
            </w:r>
          </w:p>
          <w:p>
            <w:pPr>
              <w:snapToGrid w:val="0"/>
              <w:spacing w:line="276" w:lineRule="auto"/>
              <w:rPr>
                <w:rFonts w:ascii="宋体" w:hAnsi="宋体" w:cs="宋体"/>
                <w:bCs/>
                <w:sz w:val="24"/>
              </w:rPr>
            </w:pPr>
            <w:r>
              <w:rPr>
                <w:rFonts w:hint="eastAsia" w:ascii="宋体" w:hAnsi="宋体" w:cs="宋体"/>
                <w:bCs/>
                <w:sz w:val="24"/>
              </w:rPr>
              <w:t>电话：010-60688778</w:t>
            </w:r>
          </w:p>
          <w:p>
            <w:pPr>
              <w:tabs>
                <w:tab w:val="left" w:pos="1137"/>
                <w:tab w:val="right" w:pos="6609"/>
              </w:tabs>
              <w:adjustRightInd w:val="0"/>
              <w:snapToGrid w:val="0"/>
              <w:spacing w:before="12" w:beforeLines="5" w:after="12" w:afterLines="5" w:line="276" w:lineRule="auto"/>
              <w:rPr>
                <w:rFonts w:ascii="宋体" w:hAnsi="宋体" w:cs="宋体"/>
                <w:sz w:val="24"/>
              </w:rPr>
            </w:pPr>
            <w:r>
              <w:rPr>
                <w:rFonts w:hint="eastAsia" w:ascii="宋体" w:hAnsi="宋体" w:cs="宋体"/>
                <w:bCs/>
                <w:sz w:val="24"/>
              </w:rPr>
              <w:t>邮箱：</w:t>
            </w:r>
            <w:bookmarkEnd w:id="40"/>
            <w:bookmarkEnd w:id="41"/>
            <w:bookmarkEnd w:id="42"/>
            <w:bookmarkEnd w:id="43"/>
            <w:bookmarkEnd w:id="44"/>
            <w:bookmarkEnd w:id="45"/>
            <w:bookmarkEnd w:id="46"/>
            <w:bookmarkEnd w:id="47"/>
            <w:r>
              <w:rPr>
                <w:rFonts w:hint="eastAsia" w:ascii="宋体" w:hAnsi="宋体" w:cs="宋体"/>
                <w:bCs/>
                <w:color w:val="FF0000"/>
                <w:sz w:val="24"/>
              </w:rPr>
              <w:t>wanghuiqun</w:t>
            </w:r>
            <w:r>
              <w:rPr>
                <w:rFonts w:hint="eastAsia" w:ascii="宋体" w:hAnsi="宋体" w:cs="宋体"/>
                <w:bCs/>
                <w:sz w:val="24"/>
              </w:rPr>
              <w:t>@binn.cas.cn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投标报价规定</w:t>
            </w:r>
          </w:p>
        </w:tc>
        <w:tc>
          <w:tcPr>
            <w:tcW w:w="6418" w:type="dxa"/>
            <w:tcBorders>
              <w:top w:val="single" w:color="auto" w:sz="4" w:space="0"/>
              <w:left w:val="single" w:color="auto" w:sz="4" w:space="0"/>
              <w:bottom w:val="single" w:color="auto" w:sz="4" w:space="0"/>
              <w:right w:val="single" w:color="auto" w:sz="4" w:space="0"/>
            </w:tcBorders>
            <w:vAlign w:val="center"/>
          </w:tcPr>
          <w:p>
            <w:pPr>
              <w:spacing w:before="86" w:line="360" w:lineRule="auto"/>
              <w:ind w:right="-20"/>
              <w:rPr>
                <w:rFonts w:ascii="宋体" w:hAnsi="宋体" w:cs="宋体"/>
                <w:color w:val="000000"/>
                <w:spacing w:val="2"/>
                <w:sz w:val="24"/>
              </w:rPr>
            </w:pPr>
            <w:r>
              <w:rPr>
                <w:rFonts w:hint="eastAsia" w:ascii="宋体" w:hAnsi="宋体" w:cs="宋体"/>
                <w:b/>
                <w:bCs/>
                <w:sz w:val="24"/>
              </w:rPr>
              <w:t>本项目最高投标限价17</w:t>
            </w:r>
            <w:r>
              <w:rPr>
                <w:rFonts w:hint="eastAsia" w:ascii="宋体" w:hAnsi="宋体" w:cs="宋体"/>
                <w:b/>
                <w:bCs/>
                <w:color w:val="FF0000"/>
                <w:sz w:val="24"/>
              </w:rPr>
              <w:t>万元</w:t>
            </w:r>
            <w:r>
              <w:rPr>
                <w:rFonts w:hint="eastAsia" w:ascii="宋体" w:hAnsi="宋体" w:cs="宋体"/>
                <w:b/>
                <w:bCs/>
                <w:sz w:val="24"/>
              </w:rPr>
              <w:t>。供应商投标报价不超过最高投标限价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报价采用的币种</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b/>
                <w:bCs/>
                <w:sz w:val="24"/>
              </w:rPr>
              <w:t>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 xml:space="preserve">磋商有效期                             </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sz w:val="24"/>
              </w:rPr>
              <w:t>从响应截止之日起：90日历天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磋商保证金</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■不要求递交磋商保证金</w:t>
            </w:r>
          </w:p>
          <w:p>
            <w:pPr>
              <w:snapToGrid w:val="0"/>
              <w:spacing w:line="360" w:lineRule="auto"/>
              <w:rPr>
                <w:rFonts w:ascii="宋体" w:hAnsi="宋体" w:cs="宋体"/>
                <w:sz w:val="24"/>
              </w:rPr>
            </w:pPr>
            <w:r>
              <w:rPr>
                <w:rFonts w:hint="eastAsia" w:ascii="宋体" w:hAnsi="宋体" w:cs="宋体"/>
                <w:sz w:val="24"/>
              </w:rPr>
              <w:t>□要求递交磋商保证金</w:t>
            </w:r>
          </w:p>
          <w:p>
            <w:pPr>
              <w:snapToGrid w:val="0"/>
              <w:spacing w:line="360" w:lineRule="auto"/>
              <w:rPr>
                <w:rFonts w:ascii="宋体" w:hAnsi="宋体" w:cs="宋体"/>
                <w:sz w:val="24"/>
              </w:rPr>
            </w:pPr>
            <w:r>
              <w:rPr>
                <w:rFonts w:hint="eastAsia" w:ascii="宋体" w:hAnsi="宋体" w:cs="宋体"/>
                <w:sz w:val="24"/>
              </w:rPr>
              <w:t>磋商保证金的形式：转账支票或电汇</w:t>
            </w:r>
          </w:p>
          <w:p>
            <w:pPr>
              <w:snapToGrid w:val="0"/>
              <w:spacing w:line="360" w:lineRule="auto"/>
              <w:rPr>
                <w:rFonts w:ascii="宋体" w:hAnsi="宋体" w:cs="宋体"/>
                <w:sz w:val="24"/>
              </w:rPr>
            </w:pPr>
            <w:r>
              <w:rPr>
                <w:rFonts w:hint="eastAsia" w:ascii="宋体" w:hAnsi="宋体" w:cs="宋体"/>
                <w:sz w:val="24"/>
              </w:rPr>
              <w:t xml:space="preserve">磋商保证金的金额：0元整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107" w:rightChars="-51"/>
              <w:jc w:val="both"/>
              <w:rPr>
                <w:rFonts w:ascii="宋体" w:hAnsi="宋体" w:cs="宋体"/>
                <w:sz w:val="24"/>
              </w:rPr>
            </w:pPr>
            <w:r>
              <w:rPr>
                <w:rFonts w:hint="eastAsia" w:ascii="宋体" w:hAnsi="宋体" w:cs="宋体"/>
                <w:sz w:val="24"/>
              </w:rPr>
              <w:t>供应商的备选方案</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响应文件份数</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sz w:val="24"/>
              </w:rPr>
              <w:t>1正2副，须同时提交U盘1个（文件扩展名可为：jpg或pdf或dwg或ppt，内容与正本一致）U盘需标注供应商名称及项目名称</w:t>
            </w:r>
          </w:p>
          <w:p>
            <w:pPr>
              <w:snapToGrid w:val="0"/>
              <w:spacing w:line="276" w:lineRule="auto"/>
              <w:rPr>
                <w:rFonts w:ascii="宋体" w:hAnsi="宋体" w:cs="宋体"/>
                <w:sz w:val="24"/>
              </w:rPr>
            </w:pPr>
            <w:r>
              <w:rPr>
                <w:rFonts w:hint="eastAsia" w:ascii="宋体" w:hAnsi="宋体" w:cs="宋体"/>
                <w:sz w:val="24"/>
              </w:rPr>
              <w:t>响应文件电子版密封方式：单独放入一个密封袋中，加贴封条，并在封套封口处加盖供应商单位章，在封套上标记“响应文件电子版”字样。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响应文件</w:t>
            </w:r>
          </w:p>
          <w:p>
            <w:pPr>
              <w:snapToGrid w:val="0"/>
              <w:spacing w:line="276" w:lineRule="auto"/>
              <w:jc w:val="both"/>
              <w:rPr>
                <w:rFonts w:ascii="宋体" w:hAnsi="宋体" w:cs="宋体"/>
                <w:sz w:val="24"/>
              </w:rPr>
            </w:pPr>
            <w:r>
              <w:rPr>
                <w:rFonts w:hint="eastAsia" w:ascii="宋体" w:hAnsi="宋体" w:cs="宋体"/>
                <w:sz w:val="24"/>
              </w:rPr>
              <w:t>编制要求</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响应文件装订：</w:t>
            </w:r>
          </w:p>
          <w:p>
            <w:pPr>
              <w:snapToGrid w:val="0"/>
              <w:spacing w:line="360" w:lineRule="auto"/>
              <w:rPr>
                <w:rFonts w:ascii="宋体" w:hAnsi="宋体" w:cs="宋体"/>
                <w:sz w:val="24"/>
              </w:rPr>
            </w:pPr>
            <w:r>
              <w:rPr>
                <w:rFonts w:hint="eastAsia" w:ascii="宋体" w:hAnsi="宋体" w:cs="宋体"/>
                <w:sz w:val="24"/>
              </w:rPr>
              <w:t xml:space="preserve">响应文件正本/副本封面格式见第四部分“响应文件格式”。 </w:t>
            </w:r>
          </w:p>
          <w:p>
            <w:pPr>
              <w:snapToGrid w:val="0"/>
              <w:spacing w:line="360" w:lineRule="auto"/>
              <w:rPr>
                <w:rFonts w:ascii="宋体" w:hAnsi="宋体" w:cs="宋体"/>
                <w:sz w:val="24"/>
              </w:rPr>
            </w:pPr>
            <w:r>
              <w:rPr>
                <w:rFonts w:hint="eastAsia" w:ascii="宋体" w:hAnsi="宋体" w:cs="宋体"/>
                <w:sz w:val="24"/>
              </w:rPr>
              <w:t>响应文件采用A4页面，左侧牢固装订，胶装成册。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cs="宋体"/>
                <w:sz w:val="24"/>
              </w:rPr>
            </w:pPr>
            <w:r>
              <w:rPr>
                <w:rFonts w:hint="eastAsia" w:ascii="宋体" w:hAnsi="宋体" w:cs="宋体"/>
                <w:sz w:val="24"/>
              </w:rPr>
              <w:t>响应文件提交</w:t>
            </w:r>
          </w:p>
          <w:p>
            <w:pPr>
              <w:snapToGrid w:val="0"/>
              <w:spacing w:line="360" w:lineRule="auto"/>
              <w:jc w:val="both"/>
              <w:rPr>
                <w:rFonts w:ascii="宋体" w:hAnsi="宋体" w:cs="宋体"/>
                <w:sz w:val="24"/>
              </w:rPr>
            </w:pPr>
            <w:r>
              <w:rPr>
                <w:rFonts w:hint="eastAsia" w:ascii="宋体" w:hAnsi="宋体" w:cs="宋体"/>
                <w:sz w:val="24"/>
              </w:rPr>
              <w:t>地点及截止时间</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 w:val="24"/>
              </w:rPr>
            </w:pPr>
            <w:r>
              <w:rPr>
                <w:rFonts w:hint="eastAsia" w:ascii="宋体" w:hAnsi="宋体" w:cs="宋体"/>
                <w:sz w:val="24"/>
              </w:rPr>
              <w:t>收件人：</w:t>
            </w:r>
            <w:r>
              <w:rPr>
                <w:rFonts w:hint="eastAsia" w:ascii="宋体" w:hAnsi="宋体" w:cs="宋体"/>
                <w:bCs/>
                <w:sz w:val="24"/>
              </w:rPr>
              <w:t>王老师</w:t>
            </w:r>
          </w:p>
          <w:p>
            <w:pPr>
              <w:snapToGrid w:val="0"/>
              <w:spacing w:line="360" w:lineRule="auto"/>
              <w:rPr>
                <w:rFonts w:ascii="宋体" w:hAnsi="宋体"/>
                <w:color w:val="000000"/>
                <w:sz w:val="24"/>
                <w:u w:val="single"/>
              </w:rPr>
            </w:pPr>
            <w:r>
              <w:rPr>
                <w:rFonts w:hint="eastAsia" w:ascii="宋体" w:hAnsi="宋体" w:cs="宋体"/>
                <w:sz w:val="24"/>
              </w:rPr>
              <w:t>地  点：</w:t>
            </w:r>
            <w:r>
              <w:rPr>
                <w:rFonts w:hint="eastAsia" w:ascii="宋体" w:hAnsi="宋体"/>
                <w:color w:val="000000"/>
                <w:sz w:val="24"/>
                <w:u w:val="single"/>
              </w:rPr>
              <w:t>北京市怀柔区雁栖经济开发区杨雁东一路8号</w:t>
            </w:r>
          </w:p>
          <w:p>
            <w:pPr>
              <w:snapToGrid w:val="0"/>
              <w:spacing w:line="360" w:lineRule="auto"/>
              <w:rPr>
                <w:rFonts w:ascii="宋体" w:hAnsi="宋体" w:cs="宋体"/>
                <w:sz w:val="24"/>
              </w:rPr>
            </w:pPr>
            <w:r>
              <w:rPr>
                <w:rFonts w:hint="eastAsia" w:ascii="宋体" w:hAnsi="宋体" w:cs="宋体"/>
                <w:sz w:val="24"/>
              </w:rPr>
              <w:t>时  间：</w:t>
            </w:r>
            <w:r>
              <w:rPr>
                <w:rFonts w:hint="eastAsia" w:ascii="宋体" w:hAnsi="宋体"/>
                <w:color w:val="FF0000"/>
                <w:sz w:val="24"/>
              </w:rPr>
              <w:t>2024年5月27日1</w:t>
            </w:r>
            <w:r>
              <w:rPr>
                <w:rFonts w:ascii="宋体" w:hAnsi="宋体"/>
                <w:color w:val="FF0000"/>
                <w:sz w:val="24"/>
              </w:rPr>
              <w:t>0</w:t>
            </w:r>
            <w:r>
              <w:rPr>
                <w:rFonts w:hint="eastAsia" w:ascii="宋体" w:hAnsi="宋体"/>
                <w:color w:val="FF0000"/>
                <w:sz w:val="24"/>
              </w:rPr>
              <w:t>时</w:t>
            </w:r>
            <w:r>
              <w:rPr>
                <w:rFonts w:ascii="宋体" w:hAnsi="宋体"/>
                <w:color w:val="FF0000"/>
                <w:sz w:val="24"/>
              </w:rPr>
              <w:t>0</w:t>
            </w:r>
            <w:r>
              <w:rPr>
                <w:rFonts w:hint="eastAsia" w:ascii="宋体" w:hAnsi="宋体"/>
                <w:color w:val="FF0000"/>
                <w:sz w:val="24"/>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cs="宋体"/>
                <w:sz w:val="24"/>
              </w:rPr>
            </w:pPr>
            <w:r>
              <w:rPr>
                <w:rFonts w:hint="eastAsia" w:ascii="宋体" w:hAnsi="宋体" w:cs="宋体"/>
                <w:sz w:val="24"/>
              </w:rPr>
              <w:t>磋商</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磋商时间：</w:t>
            </w:r>
            <w:r>
              <w:rPr>
                <w:rFonts w:hint="eastAsia" w:ascii="宋体" w:hAnsi="宋体"/>
                <w:color w:val="FF0000"/>
                <w:sz w:val="24"/>
              </w:rPr>
              <w:t>2024年5月27日1</w:t>
            </w:r>
            <w:r>
              <w:rPr>
                <w:rFonts w:ascii="宋体" w:hAnsi="宋体"/>
                <w:color w:val="FF0000"/>
                <w:sz w:val="24"/>
              </w:rPr>
              <w:t>0</w:t>
            </w:r>
            <w:r>
              <w:rPr>
                <w:rFonts w:hint="eastAsia" w:ascii="宋体" w:hAnsi="宋体"/>
                <w:color w:val="FF0000"/>
                <w:sz w:val="24"/>
              </w:rPr>
              <w:t>时</w:t>
            </w:r>
            <w:r>
              <w:rPr>
                <w:rFonts w:ascii="宋体" w:hAnsi="宋体"/>
                <w:color w:val="FF0000"/>
                <w:sz w:val="24"/>
              </w:rPr>
              <w:t>0</w:t>
            </w:r>
            <w:r>
              <w:rPr>
                <w:rFonts w:hint="eastAsia" w:ascii="宋体" w:hAnsi="宋体"/>
                <w:color w:val="FF0000"/>
                <w:sz w:val="24"/>
              </w:rPr>
              <w:t>0分</w:t>
            </w:r>
          </w:p>
          <w:p>
            <w:pPr>
              <w:snapToGrid w:val="0"/>
              <w:spacing w:line="360" w:lineRule="auto"/>
              <w:jc w:val="left"/>
              <w:rPr>
                <w:rFonts w:ascii="宋体" w:hAnsi="宋体" w:cs="宋体"/>
                <w:bCs/>
                <w:sz w:val="24"/>
              </w:rPr>
            </w:pPr>
            <w:r>
              <w:rPr>
                <w:rFonts w:hint="eastAsia" w:ascii="宋体" w:hAnsi="宋体" w:cs="宋体"/>
                <w:sz w:val="24"/>
              </w:rPr>
              <w:t>地点：</w:t>
            </w:r>
            <w:r>
              <w:rPr>
                <w:rFonts w:hint="eastAsia" w:ascii="宋体" w:hAnsi="宋体"/>
                <w:color w:val="000000"/>
                <w:sz w:val="24"/>
                <w:u w:val="single"/>
              </w:rPr>
              <w:t>北京市怀柔区雁栖经济开发区杨雁东一路8号</w:t>
            </w:r>
          </w:p>
        </w:tc>
      </w:tr>
      <w:bookmarkEnd w:id="3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技术方案陈述</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磋商方法及标准</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sz w:val="24"/>
              </w:rPr>
              <w:t>综合评标定标</w:t>
            </w:r>
            <w:r>
              <w:rPr>
                <w:rFonts w:hint="eastAsia" w:ascii="宋体" w:hAnsi="宋体" w:cs="宋体"/>
                <w:sz w:val="24"/>
              </w:rPr>
              <w:t>法，</w:t>
            </w:r>
            <w:r>
              <w:rPr>
                <w:rFonts w:hint="eastAsia" w:ascii="宋体" w:hAnsi="宋体" w:cs="宋体"/>
                <w:b/>
                <w:sz w:val="24"/>
              </w:rPr>
              <w:t>本次磋商采取2轮报价的方式，通过评委对各供应商的技术部分、商务部分及价格部分综合评定分数确定最终中标。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交货周期</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sz w:val="24"/>
              </w:rPr>
              <w:t>自合同签订之日起1次/年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40"/>
              </w:tabs>
              <w:snapToGrid w:val="0"/>
              <w:spacing w:line="276" w:lineRule="auto"/>
              <w:ind w:firstLine="1200"/>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both"/>
              <w:rPr>
                <w:rFonts w:ascii="宋体" w:hAnsi="宋体" w:cs="宋体"/>
                <w:sz w:val="24"/>
              </w:rPr>
            </w:pPr>
            <w:r>
              <w:rPr>
                <w:rFonts w:hint="eastAsia" w:ascii="宋体" w:hAnsi="宋体" w:cs="宋体"/>
                <w:sz w:val="24"/>
              </w:rPr>
              <w:t>中小企业声明函所属行业</w:t>
            </w:r>
          </w:p>
        </w:tc>
        <w:tc>
          <w:tcPr>
            <w:tcW w:w="6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sz w:val="24"/>
              </w:rPr>
            </w:pPr>
            <w:r>
              <w:rPr>
                <w:rFonts w:hint="eastAsia" w:ascii="宋体" w:hAnsi="宋体" w:cs="宋体"/>
                <w:sz w:val="24"/>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17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1205"/>
              <w:rPr>
                <w:rFonts w:ascii="宋体" w:hAnsi="宋体" w:cs="宋体"/>
                <w:b/>
                <w:sz w:val="24"/>
                <w:szCs w:val="18"/>
              </w:rPr>
            </w:pPr>
            <w:r>
              <w:rPr>
                <w:rFonts w:hint="eastAsia" w:ascii="宋体" w:hAnsi="宋体" w:cs="宋体"/>
                <w:b/>
                <w:sz w:val="24"/>
                <w:szCs w:val="18"/>
              </w:rPr>
              <w:t>补充条款</w:t>
            </w:r>
          </w:p>
          <w:p>
            <w:pPr>
              <w:snapToGrid w:val="0"/>
              <w:spacing w:line="360" w:lineRule="auto"/>
              <w:ind w:firstLine="1205"/>
              <w:rPr>
                <w:rFonts w:ascii="宋体" w:hAnsi="宋体" w:cs="宋体"/>
                <w:b/>
                <w:color w:val="000000"/>
                <w:sz w:val="24"/>
              </w:rPr>
            </w:pPr>
            <w:r>
              <w:rPr>
                <w:rFonts w:hint="eastAsia" w:ascii="宋体" w:hAnsi="宋体" w:cs="宋体"/>
                <w:b/>
                <w:color w:val="000000"/>
                <w:sz w:val="24"/>
              </w:rPr>
              <w:t>1、信誉要求：</w:t>
            </w:r>
          </w:p>
          <w:p>
            <w:pPr>
              <w:snapToGrid w:val="0"/>
              <w:spacing w:line="360" w:lineRule="auto"/>
              <w:ind w:firstLine="1200"/>
              <w:jc w:val="left"/>
              <w:rPr>
                <w:rFonts w:ascii="宋体" w:hAnsi="宋体" w:cs="宋体"/>
                <w:sz w:val="24"/>
                <w:szCs w:val="18"/>
              </w:rPr>
            </w:pPr>
            <w:r>
              <w:rPr>
                <w:rFonts w:hint="eastAsia" w:ascii="宋体" w:hAnsi="宋体" w:cs="宋体"/>
                <w:sz w:val="24"/>
                <w:szCs w:val="18"/>
              </w:rPr>
              <w:t>（1）失信被执行人</w:t>
            </w:r>
          </w:p>
          <w:p>
            <w:pPr>
              <w:snapToGrid w:val="0"/>
              <w:spacing w:line="360" w:lineRule="auto"/>
              <w:ind w:firstLine="1200"/>
              <w:jc w:val="left"/>
              <w:rPr>
                <w:rFonts w:ascii="宋体" w:hAnsi="宋体" w:cs="宋体"/>
                <w:sz w:val="24"/>
                <w:szCs w:val="18"/>
              </w:rPr>
            </w:pPr>
            <w:r>
              <w:rPr>
                <w:rFonts w:hint="eastAsia" w:ascii="宋体" w:hAnsi="宋体" w:cs="宋体"/>
                <w:sz w:val="24"/>
                <w:szCs w:val="18"/>
              </w:rPr>
              <w:t>本次磋商采用失信被执行人惩戒方式</w:t>
            </w:r>
          </w:p>
          <w:p>
            <w:pPr>
              <w:snapToGrid w:val="0"/>
              <w:spacing w:line="360" w:lineRule="auto"/>
              <w:ind w:firstLine="1200"/>
              <w:jc w:val="left"/>
              <w:rPr>
                <w:rFonts w:ascii="宋体" w:hAnsi="宋体" w:cs="宋体"/>
                <w:sz w:val="24"/>
                <w:szCs w:val="18"/>
              </w:rPr>
            </w:pPr>
            <w:r>
              <w:rPr>
                <w:rFonts w:hint="eastAsia" w:ascii="宋体" w:hAnsi="宋体" w:cs="宋体"/>
                <w:sz w:val="24"/>
                <w:szCs w:val="18"/>
              </w:rPr>
              <w:t>□ 采用失信被执行人限制性惩戒</w:t>
            </w:r>
          </w:p>
          <w:p>
            <w:pPr>
              <w:snapToGrid w:val="0"/>
              <w:spacing w:line="360" w:lineRule="auto"/>
              <w:ind w:firstLine="1200"/>
              <w:jc w:val="left"/>
              <w:rPr>
                <w:rFonts w:ascii="宋体" w:hAnsi="宋体" w:cs="宋体"/>
                <w:sz w:val="24"/>
                <w:szCs w:val="18"/>
              </w:rPr>
            </w:pPr>
            <w:r>
              <w:rPr>
                <w:rFonts w:hint="eastAsia" w:ascii="宋体" w:hAnsi="宋体" w:cs="宋体"/>
                <w:sz w:val="24"/>
                <w:szCs w:val="18"/>
              </w:rPr>
              <w:t>■ 采用失信被执行人否决性惩戒</w:t>
            </w:r>
          </w:p>
          <w:p>
            <w:pPr>
              <w:snapToGrid w:val="0"/>
              <w:spacing w:line="360" w:lineRule="auto"/>
              <w:ind w:firstLine="1205"/>
              <w:jc w:val="left"/>
              <w:rPr>
                <w:rFonts w:ascii="宋体" w:hAnsi="宋体" w:cs="宋体"/>
                <w:b/>
                <w:color w:val="000000"/>
                <w:sz w:val="24"/>
              </w:rPr>
            </w:pPr>
            <w:r>
              <w:rPr>
                <w:rFonts w:hint="eastAsia" w:ascii="宋体" w:hAnsi="宋体" w:cs="宋体"/>
                <w:b/>
                <w:sz w:val="24"/>
              </w:rPr>
              <w:t>2、</w:t>
            </w:r>
            <w:r>
              <w:rPr>
                <w:rFonts w:hint="eastAsia" w:ascii="宋体" w:hAnsi="宋体" w:cs="宋体"/>
                <w:b/>
                <w:color w:val="000000"/>
                <w:sz w:val="24"/>
              </w:rPr>
              <w:t>供应商代表出席开标会</w:t>
            </w:r>
          </w:p>
          <w:p>
            <w:pPr>
              <w:snapToGrid w:val="0"/>
              <w:spacing w:line="360" w:lineRule="auto"/>
              <w:ind w:firstLine="1205"/>
              <w:jc w:val="left"/>
              <w:rPr>
                <w:rFonts w:ascii="宋体" w:hAnsi="宋体" w:cs="宋体"/>
                <w:b/>
                <w:color w:val="000000"/>
                <w:sz w:val="24"/>
              </w:rPr>
            </w:pPr>
            <w:r>
              <w:rPr>
                <w:rFonts w:hint="eastAsia" w:ascii="宋体" w:hAnsi="宋体" w:cs="宋体"/>
                <w:b/>
                <w:color w:val="000000"/>
                <w:sz w:val="24"/>
              </w:rPr>
              <w:t>参加磋商的法定代表人单独手持身份证明文件原件及其身份证原件和加盖供应商公章的身份证复印件或其委托代理人单独手持授权委托书原件及被委托人的身份证原件及加盖供应商公章的身份证复印件参加磋商会议。</w:t>
            </w:r>
          </w:p>
          <w:p>
            <w:pPr>
              <w:spacing w:line="360" w:lineRule="auto"/>
              <w:ind w:firstLine="1200"/>
              <w:jc w:val="left"/>
              <w:rPr>
                <w:rFonts w:ascii="宋体" w:hAnsi="宋体" w:cs="宋体"/>
                <w:bCs/>
                <w:color w:val="000000"/>
                <w:sz w:val="24"/>
              </w:rPr>
            </w:pPr>
            <w:r>
              <w:rPr>
                <w:rFonts w:hint="eastAsia" w:ascii="宋体" w:hAnsi="宋体" w:cs="宋体"/>
                <w:bCs/>
                <w:color w:val="000000"/>
                <w:sz w:val="24"/>
              </w:rPr>
              <w:t>3、本项目成交服务费（无此项）</w:t>
            </w:r>
          </w:p>
          <w:p>
            <w:pPr>
              <w:widowControl/>
              <w:spacing w:line="360" w:lineRule="auto"/>
              <w:ind w:firstLine="1205"/>
              <w:jc w:val="left"/>
              <w:rPr>
                <w:rFonts w:hAnsi="宋体"/>
                <w:b/>
                <w:sz w:val="24"/>
              </w:rPr>
            </w:pPr>
          </w:p>
        </w:tc>
      </w:tr>
    </w:tbl>
    <w:p>
      <w:pPr>
        <w:ind w:firstLine="1205"/>
        <w:rPr>
          <w:sz w:val="24"/>
        </w:rPr>
      </w:pPr>
      <w:r>
        <w:rPr>
          <w:rFonts w:hint="eastAsia" w:hAnsi="宋体"/>
          <w:b/>
          <w:sz w:val="24"/>
          <w:szCs w:val="21"/>
        </w:rPr>
        <w:t>本表是关于竞争性磋商文件的具体资料，是对供应商须知的具体补充和修改，如有矛盾，应以本资料表为准。</w:t>
      </w:r>
    </w:p>
    <w:p>
      <w:pPr>
        <w:ind w:firstLine="1205"/>
        <w:jc w:val="center"/>
        <w:rPr>
          <w:rFonts w:ascii="Arial" w:hAnsi="Arial"/>
          <w:b/>
          <w:kern w:val="0"/>
          <w:sz w:val="30"/>
          <w:szCs w:val="20"/>
        </w:rPr>
      </w:pPr>
      <w:r>
        <w:rPr>
          <w:rFonts w:hAnsi="宋体"/>
          <w:b/>
          <w:sz w:val="24"/>
          <w:szCs w:val="21"/>
        </w:rPr>
        <w:br w:type="page"/>
      </w:r>
      <w:bookmarkStart w:id="48" w:name="_Toc20230406"/>
      <w:bookmarkStart w:id="49" w:name="_Toc500278622"/>
      <w:r>
        <w:rPr>
          <w:rFonts w:hint="eastAsia" w:ascii="Arial" w:hAnsi="Arial"/>
          <w:b/>
          <w:kern w:val="0"/>
          <w:sz w:val="30"/>
          <w:szCs w:val="20"/>
        </w:rPr>
        <w:t>供应商须知</w:t>
      </w:r>
      <w:bookmarkEnd w:id="48"/>
      <w:r>
        <w:rPr>
          <w:rFonts w:hint="eastAsia" w:ascii="Arial" w:hAnsi="Arial"/>
          <w:b/>
          <w:kern w:val="0"/>
          <w:sz w:val="30"/>
          <w:szCs w:val="20"/>
        </w:rPr>
        <w:t>正文</w:t>
      </w:r>
    </w:p>
    <w:bookmarkEnd w:id="49"/>
    <w:p>
      <w:pPr>
        <w:pStyle w:val="4"/>
        <w:bidi w:val="0"/>
      </w:pPr>
      <w:bookmarkStart w:id="50" w:name="_Toc452012032"/>
      <w:bookmarkEnd w:id="50"/>
      <w:bookmarkStart w:id="51" w:name="_Toc20230407"/>
      <w:bookmarkStart w:id="52" w:name="_Toc500278623"/>
      <w:r>
        <w:rPr>
          <w:rFonts w:hint="eastAsia"/>
        </w:rPr>
        <w:t>1、总 则</w:t>
      </w:r>
      <w:bookmarkEnd w:id="51"/>
      <w:bookmarkEnd w:id="52"/>
    </w:p>
    <w:p>
      <w:pPr>
        <w:pStyle w:val="4"/>
        <w:spacing w:before="0" w:after="0" w:line="360" w:lineRule="auto"/>
        <w:ind w:firstLine="1205"/>
        <w:contextualSpacing/>
        <w:rPr>
          <w:rFonts w:ascii="宋体" w:hAnsi="宋体"/>
          <w:sz w:val="24"/>
          <w:szCs w:val="24"/>
        </w:rPr>
      </w:pPr>
      <w:bookmarkStart w:id="53" w:name="_Toc452012033"/>
      <w:bookmarkStart w:id="54" w:name="_Toc500278624"/>
      <w:bookmarkStart w:id="55" w:name="_Toc20230408"/>
      <w:r>
        <w:rPr>
          <w:rFonts w:hint="eastAsia" w:ascii="宋体" w:hAnsi="宋体"/>
          <w:sz w:val="24"/>
          <w:szCs w:val="24"/>
        </w:rPr>
        <w:t>1.1、使用范围：</w:t>
      </w:r>
      <w:bookmarkEnd w:id="53"/>
      <w:bookmarkEnd w:id="54"/>
      <w:bookmarkEnd w:id="55"/>
    </w:p>
    <w:p>
      <w:pPr>
        <w:spacing w:line="360" w:lineRule="auto"/>
        <w:ind w:firstLine="480" w:firstLineChars="200"/>
        <w:rPr>
          <w:rFonts w:ascii="宋体" w:hAnsi="宋体"/>
          <w:sz w:val="24"/>
        </w:rPr>
      </w:pPr>
      <w:r>
        <w:rPr>
          <w:rFonts w:hint="eastAsia" w:ascii="宋体" w:hAnsi="宋体"/>
          <w:sz w:val="24"/>
        </w:rPr>
        <w:t>1.1.1 响应文件仅适用于磋商邀请书中所叙述项目的服务采购。</w:t>
      </w:r>
    </w:p>
    <w:p>
      <w:pPr>
        <w:pStyle w:val="4"/>
        <w:spacing w:before="0" w:after="0" w:line="360" w:lineRule="auto"/>
        <w:ind w:firstLine="1205"/>
        <w:contextualSpacing/>
        <w:rPr>
          <w:rFonts w:ascii="宋体" w:hAnsi="宋体"/>
          <w:sz w:val="24"/>
          <w:szCs w:val="24"/>
        </w:rPr>
      </w:pPr>
      <w:bookmarkStart w:id="56" w:name="_Toc20230409"/>
      <w:bookmarkStart w:id="57" w:name="_Toc452012034"/>
      <w:bookmarkStart w:id="58" w:name="_Toc500278625"/>
      <w:r>
        <w:rPr>
          <w:rFonts w:hint="eastAsia" w:ascii="宋体" w:hAnsi="宋体"/>
          <w:sz w:val="24"/>
          <w:szCs w:val="24"/>
        </w:rPr>
        <w:t>1.2、定义</w:t>
      </w:r>
      <w:bookmarkEnd w:id="56"/>
      <w:bookmarkEnd w:id="57"/>
      <w:bookmarkEnd w:id="58"/>
    </w:p>
    <w:p>
      <w:pPr>
        <w:pStyle w:val="23"/>
        <w:spacing w:line="360" w:lineRule="auto"/>
        <w:ind w:firstLine="480" w:firstLineChars="200"/>
        <w:rPr>
          <w:rFonts w:hAnsi="宋体"/>
          <w:sz w:val="24"/>
          <w:szCs w:val="24"/>
          <w:u w:val="single"/>
        </w:rPr>
      </w:pPr>
      <w:r>
        <w:rPr>
          <w:rFonts w:hint="eastAsia" w:hAnsi="宋体"/>
          <w:sz w:val="24"/>
          <w:szCs w:val="24"/>
        </w:rPr>
        <w:t>1.2.1 “采购人”系指 北京纳米能源与系统研究所</w:t>
      </w:r>
    </w:p>
    <w:p>
      <w:pPr>
        <w:pStyle w:val="23"/>
        <w:spacing w:line="360" w:lineRule="auto"/>
        <w:ind w:firstLine="480" w:firstLineChars="200"/>
        <w:rPr>
          <w:rFonts w:hint="eastAsia" w:hAnsi="宋体"/>
          <w:sz w:val="24"/>
          <w:szCs w:val="24"/>
        </w:rPr>
      </w:pPr>
      <w:r>
        <w:rPr>
          <w:rFonts w:hint="eastAsia" w:hAnsi="宋体"/>
          <w:sz w:val="24"/>
          <w:szCs w:val="24"/>
        </w:rPr>
        <w:t>1.2.2 “供应商”系指响应采购人要求，向采购人或采购代理机构递交响应文件的供应商。</w:t>
      </w:r>
    </w:p>
    <w:p>
      <w:pPr>
        <w:spacing w:line="360" w:lineRule="auto"/>
        <w:ind w:firstLine="480" w:firstLineChars="200"/>
        <w:rPr>
          <w:rFonts w:ascii="宋体" w:hAnsi="宋体"/>
          <w:sz w:val="24"/>
        </w:rPr>
      </w:pPr>
      <w:r>
        <w:rPr>
          <w:rFonts w:hint="eastAsia" w:ascii="宋体" w:hAnsi="宋体"/>
          <w:sz w:val="24"/>
        </w:rPr>
        <w:t>1.2.3 “服务”系指磋商文件的采购需求所规定内容。</w:t>
      </w:r>
    </w:p>
    <w:p>
      <w:pPr>
        <w:pStyle w:val="4"/>
        <w:spacing w:before="0" w:after="0" w:line="360" w:lineRule="auto"/>
        <w:ind w:firstLine="1205"/>
        <w:contextualSpacing/>
        <w:rPr>
          <w:rFonts w:ascii="宋体" w:hAnsi="宋体"/>
          <w:sz w:val="24"/>
          <w:szCs w:val="24"/>
        </w:rPr>
      </w:pPr>
      <w:bookmarkStart w:id="59" w:name="_Toc500278626"/>
      <w:bookmarkStart w:id="60" w:name="_Toc20230410"/>
      <w:bookmarkStart w:id="61" w:name="_Toc452012035"/>
      <w:r>
        <w:rPr>
          <w:rFonts w:hint="eastAsia" w:ascii="宋体" w:hAnsi="宋体"/>
          <w:sz w:val="24"/>
          <w:szCs w:val="24"/>
        </w:rPr>
        <w:t>1.3、合格的供应商</w:t>
      </w:r>
      <w:bookmarkEnd w:id="59"/>
      <w:bookmarkEnd w:id="60"/>
      <w:bookmarkEnd w:id="61"/>
    </w:p>
    <w:p>
      <w:pPr>
        <w:spacing w:line="360" w:lineRule="auto"/>
        <w:ind w:firstLine="240" w:firstLineChars="100"/>
        <w:rPr>
          <w:rFonts w:ascii="宋体" w:hAnsi="宋体"/>
          <w:sz w:val="24"/>
        </w:rPr>
      </w:pPr>
      <w:r>
        <w:rPr>
          <w:rFonts w:hint="eastAsia" w:ascii="宋体" w:hAnsi="宋体"/>
          <w:sz w:val="24"/>
        </w:rPr>
        <w:t xml:space="preserve">  1.3.1、符合《中华人民共和国政府采购法》第二十二条要求；</w:t>
      </w:r>
    </w:p>
    <w:p>
      <w:pPr>
        <w:tabs>
          <w:tab w:val="left" w:pos="540"/>
        </w:tabs>
        <w:spacing w:line="360" w:lineRule="auto"/>
        <w:ind w:firstLine="960" w:firstLineChars="400"/>
        <w:rPr>
          <w:rFonts w:ascii="宋体" w:hAnsi="宋体"/>
          <w:sz w:val="24"/>
        </w:rPr>
      </w:pPr>
      <w:r>
        <w:rPr>
          <w:rFonts w:hint="eastAsia" w:ascii="宋体" w:hAnsi="宋体"/>
          <w:sz w:val="24"/>
        </w:rPr>
        <w:t>（1）具有独立承担民事责任的能力</w:t>
      </w:r>
    </w:p>
    <w:p>
      <w:pPr>
        <w:tabs>
          <w:tab w:val="left" w:pos="540"/>
        </w:tabs>
        <w:spacing w:line="360" w:lineRule="auto"/>
        <w:ind w:firstLine="960" w:firstLineChars="400"/>
        <w:rPr>
          <w:rFonts w:ascii="宋体" w:hAnsi="宋体"/>
          <w:sz w:val="24"/>
        </w:rPr>
      </w:pPr>
      <w:r>
        <w:rPr>
          <w:rFonts w:hint="eastAsia" w:ascii="宋体" w:hAnsi="宋体"/>
          <w:sz w:val="24"/>
        </w:rPr>
        <w:t>（2）具有良好的商业信誉和健全的财务会计制度；</w:t>
      </w:r>
    </w:p>
    <w:p>
      <w:pPr>
        <w:tabs>
          <w:tab w:val="left" w:pos="540"/>
        </w:tabs>
        <w:spacing w:line="360" w:lineRule="auto"/>
        <w:ind w:firstLine="960" w:firstLineChars="400"/>
        <w:rPr>
          <w:rFonts w:ascii="宋体" w:hAnsi="宋体"/>
          <w:sz w:val="24"/>
        </w:rPr>
      </w:pPr>
      <w:r>
        <w:rPr>
          <w:rFonts w:hint="eastAsia" w:ascii="宋体" w:hAnsi="宋体"/>
          <w:sz w:val="24"/>
        </w:rPr>
        <w:t>（3）具有履行合同所必需的设备和专业技术能力；</w:t>
      </w:r>
    </w:p>
    <w:p>
      <w:pPr>
        <w:tabs>
          <w:tab w:val="left" w:pos="540"/>
        </w:tabs>
        <w:spacing w:line="360" w:lineRule="auto"/>
        <w:ind w:firstLine="960" w:firstLineChars="400"/>
        <w:rPr>
          <w:rFonts w:ascii="宋体" w:hAnsi="宋体"/>
          <w:sz w:val="24"/>
        </w:rPr>
      </w:pPr>
      <w:r>
        <w:rPr>
          <w:rFonts w:hint="eastAsia" w:ascii="宋体" w:hAnsi="宋体"/>
          <w:sz w:val="24"/>
        </w:rPr>
        <w:t>（4）有依法缴纳税收和社会保障资金的良好记录；</w:t>
      </w:r>
    </w:p>
    <w:p>
      <w:pPr>
        <w:tabs>
          <w:tab w:val="left" w:pos="540"/>
        </w:tabs>
        <w:spacing w:line="360" w:lineRule="auto"/>
        <w:ind w:firstLine="960" w:firstLineChars="400"/>
        <w:rPr>
          <w:rFonts w:ascii="宋体" w:hAnsi="宋体"/>
          <w:sz w:val="24"/>
        </w:rPr>
      </w:pPr>
      <w:r>
        <w:rPr>
          <w:rFonts w:hint="eastAsia" w:ascii="宋体" w:hAnsi="宋体"/>
          <w:sz w:val="24"/>
        </w:rPr>
        <w:t>（5）参加政府采购活动前三年内，在经营活动中没有重大违法记录；</w:t>
      </w:r>
    </w:p>
    <w:p>
      <w:pPr>
        <w:tabs>
          <w:tab w:val="left" w:pos="540"/>
        </w:tabs>
        <w:spacing w:line="360" w:lineRule="auto"/>
        <w:ind w:firstLine="240" w:firstLineChars="100"/>
        <w:rPr>
          <w:rFonts w:ascii="宋体" w:hAnsi="宋体"/>
          <w:sz w:val="24"/>
        </w:rPr>
      </w:pPr>
      <w:r>
        <w:rPr>
          <w:rFonts w:hint="eastAsia" w:ascii="宋体" w:hAnsi="宋体"/>
          <w:sz w:val="24"/>
        </w:rPr>
        <w:t>　    （6）法律、行政法规规定的其他条件。</w:t>
      </w:r>
    </w:p>
    <w:p>
      <w:pPr>
        <w:spacing w:line="360" w:lineRule="auto"/>
        <w:ind w:firstLine="480" w:firstLineChars="200"/>
        <w:rPr>
          <w:rFonts w:ascii="宋体" w:hAnsi="宋体"/>
          <w:color w:val="000000"/>
          <w:sz w:val="24"/>
        </w:rPr>
      </w:pPr>
      <w:r>
        <w:rPr>
          <w:rFonts w:hint="eastAsia" w:ascii="宋体" w:hAnsi="宋体"/>
          <w:color w:val="000000"/>
          <w:sz w:val="24"/>
        </w:rPr>
        <w:t>1.3.2、通过“信用中国”网站（https://www.creditchina.gov.cn/）查询记录，未被列入失信被执行人、重大税收违法案件当事人名单；</w:t>
      </w:r>
    </w:p>
    <w:p>
      <w:pPr>
        <w:spacing w:line="360" w:lineRule="auto"/>
        <w:ind w:firstLine="480" w:firstLineChars="200"/>
        <w:rPr>
          <w:rFonts w:ascii="宋体" w:hAnsi="宋体"/>
          <w:color w:val="000000"/>
          <w:sz w:val="24"/>
        </w:rPr>
      </w:pPr>
      <w:r>
        <w:rPr>
          <w:rFonts w:hint="eastAsia" w:ascii="宋体" w:hAnsi="宋体"/>
          <w:color w:val="000000"/>
          <w:sz w:val="24"/>
        </w:rPr>
        <w:t>1.3.3、通过“中国政府采购网”网站（</w:t>
      </w:r>
      <w:r>
        <w:fldChar w:fldCharType="begin"/>
      </w:r>
      <w:r>
        <w:instrText xml:space="preserve"> HYPERLINK "http://www.ccgp.gov.cn/search/cr/" </w:instrText>
      </w:r>
      <w:r>
        <w:fldChar w:fldCharType="separate"/>
      </w:r>
      <w:r>
        <w:rPr>
          <w:rStyle w:val="46"/>
          <w:rFonts w:hint="eastAsia" w:ascii="宋体" w:hAnsi="宋体"/>
          <w:color w:val="000000"/>
          <w:sz w:val="24"/>
        </w:rPr>
        <w:t>http://www.ccgp.gov.cn/search/cr/</w:t>
      </w:r>
      <w:r>
        <w:rPr>
          <w:rStyle w:val="46"/>
          <w:rFonts w:hint="eastAsia" w:ascii="宋体" w:hAnsi="宋体"/>
          <w:color w:val="000000"/>
          <w:sz w:val="24"/>
        </w:rPr>
        <w:fldChar w:fldCharType="end"/>
      </w:r>
      <w:r>
        <w:rPr>
          <w:rFonts w:hint="eastAsia" w:ascii="宋体" w:hAnsi="宋体"/>
          <w:color w:val="000000"/>
          <w:sz w:val="24"/>
        </w:rPr>
        <w:t>）查询记录，未被列入</w:t>
      </w:r>
      <w:r>
        <w:fldChar w:fldCharType="begin"/>
      </w:r>
      <w:r>
        <w:instrText xml:space="preserve"> HYPERLINK "http://www.ccgp.gov.cn/search/cr/" \o "政府采购严重违法失信行为记录名单" </w:instrText>
      </w:r>
      <w:r>
        <w:fldChar w:fldCharType="separate"/>
      </w:r>
      <w:r>
        <w:rPr>
          <w:rStyle w:val="46"/>
          <w:rFonts w:hint="eastAsia" w:ascii="宋体" w:hAnsi="宋体"/>
          <w:color w:val="000000"/>
          <w:sz w:val="24"/>
        </w:rPr>
        <w:t>政府采购严重违法失信行为记录名单</w:t>
      </w:r>
      <w:r>
        <w:rPr>
          <w:rStyle w:val="46"/>
          <w:rFonts w:hint="eastAsia" w:ascii="宋体" w:hAnsi="宋体"/>
          <w:color w:val="000000"/>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1.3.4、必须已获取磋商文件并登记，否则没有资格磋商；</w:t>
      </w:r>
    </w:p>
    <w:p>
      <w:pPr>
        <w:spacing w:line="360" w:lineRule="auto"/>
        <w:ind w:firstLine="480" w:firstLineChars="200"/>
        <w:rPr>
          <w:rFonts w:ascii="宋体" w:hAnsi="宋体"/>
          <w:color w:val="000000"/>
          <w:sz w:val="24"/>
        </w:rPr>
      </w:pPr>
      <w:r>
        <w:rPr>
          <w:rFonts w:hint="eastAsia" w:ascii="宋体" w:hAnsi="宋体"/>
          <w:color w:val="000000"/>
          <w:sz w:val="24"/>
        </w:rPr>
        <w:t>1.3.5、不接受联合体磋商；</w:t>
      </w:r>
    </w:p>
    <w:p>
      <w:pPr>
        <w:spacing w:line="360" w:lineRule="auto"/>
        <w:ind w:firstLine="480" w:firstLineChars="200"/>
        <w:rPr>
          <w:rFonts w:ascii="宋体" w:hAnsi="宋体"/>
          <w:sz w:val="24"/>
        </w:rPr>
      </w:pPr>
      <w:r>
        <w:rPr>
          <w:rFonts w:hint="eastAsia" w:ascii="宋体" w:hAnsi="宋体"/>
          <w:sz w:val="24"/>
        </w:rPr>
        <w:t>1.3.6、中央空调系统维护保养相关资质证书（A类或D类）。</w:t>
      </w:r>
    </w:p>
    <w:p>
      <w:pPr>
        <w:spacing w:line="360" w:lineRule="auto"/>
        <w:ind w:firstLine="480" w:firstLineChars="200"/>
        <w:rPr>
          <w:rFonts w:ascii="宋体" w:hAnsi="宋体"/>
          <w:sz w:val="24"/>
        </w:rPr>
      </w:pPr>
      <w:r>
        <w:rPr>
          <w:rFonts w:hint="eastAsia" w:ascii="宋体" w:hAnsi="宋体"/>
          <w:sz w:val="24"/>
        </w:rPr>
        <w:t>1.3.7、投标人须是中华人民共和国境内正式注册，并具有有效的独立法人资格；法定代表人为同一个人的两个及两个以上法人，母公司、全资子公司及其控股公司，以及有其他形式资产关联关系的主体，都不得在本项目中同时投标。</w:t>
      </w:r>
    </w:p>
    <w:p>
      <w:pPr>
        <w:pStyle w:val="4"/>
        <w:spacing w:before="0" w:after="0" w:line="360" w:lineRule="auto"/>
        <w:ind w:firstLine="1205"/>
        <w:contextualSpacing/>
        <w:rPr>
          <w:rFonts w:ascii="宋体" w:hAnsi="宋体"/>
          <w:sz w:val="24"/>
          <w:szCs w:val="24"/>
        </w:rPr>
      </w:pPr>
      <w:bookmarkStart w:id="62" w:name="_Toc500278627"/>
      <w:bookmarkStart w:id="63" w:name="_Toc452012036"/>
      <w:bookmarkStart w:id="64" w:name="_Toc20230411"/>
      <w:r>
        <w:rPr>
          <w:rFonts w:hint="eastAsia" w:ascii="宋体" w:hAnsi="宋体"/>
          <w:sz w:val="24"/>
          <w:szCs w:val="24"/>
        </w:rPr>
        <w:t>1.4、费用</w:t>
      </w:r>
      <w:bookmarkEnd w:id="62"/>
      <w:bookmarkEnd w:id="63"/>
      <w:bookmarkEnd w:id="64"/>
    </w:p>
    <w:p>
      <w:pPr>
        <w:pStyle w:val="4"/>
        <w:spacing w:before="0" w:after="0" w:line="360" w:lineRule="auto"/>
        <w:ind w:firstLine="1205"/>
        <w:contextualSpacing/>
        <w:rPr>
          <w:rFonts w:ascii="宋体" w:hAnsi="宋体"/>
          <w:b w:val="0"/>
          <w:bCs w:val="0"/>
          <w:sz w:val="24"/>
          <w:szCs w:val="24"/>
        </w:rPr>
      </w:pPr>
      <w:r>
        <w:rPr>
          <w:rFonts w:hint="eastAsia" w:ascii="宋体" w:hAnsi="宋体"/>
          <w:b w:val="0"/>
          <w:bCs w:val="0"/>
          <w:sz w:val="24"/>
        </w:rPr>
        <w:t>1.4.1 供应商应承担所有与编写和提交响应文件有关的费用，无论竞争性磋商过程中的做法和结果如何，采购人在任何情况下均无义务和责任承担这些费用。</w:t>
      </w:r>
      <w:bookmarkStart w:id="65" w:name="_Toc452012037"/>
      <w:bookmarkStart w:id="66" w:name="_Toc500278628"/>
      <w:bookmarkStart w:id="67" w:name="_Toc20230412"/>
    </w:p>
    <w:p>
      <w:pPr>
        <w:pStyle w:val="4"/>
        <w:spacing w:before="0" w:after="0" w:line="360" w:lineRule="auto"/>
        <w:ind w:firstLine="1205"/>
        <w:contextualSpacing/>
        <w:rPr>
          <w:rFonts w:ascii="宋体" w:hAnsi="宋体"/>
          <w:sz w:val="24"/>
          <w:szCs w:val="24"/>
        </w:rPr>
      </w:pPr>
      <w:r>
        <w:rPr>
          <w:rFonts w:hint="eastAsia" w:ascii="宋体" w:hAnsi="宋体"/>
          <w:sz w:val="24"/>
          <w:szCs w:val="24"/>
        </w:rPr>
        <w:t>2、发布</w:t>
      </w:r>
      <w:bookmarkEnd w:id="65"/>
      <w:bookmarkEnd w:id="66"/>
      <w:r>
        <w:rPr>
          <w:rFonts w:hint="eastAsia" w:ascii="宋体" w:hAnsi="宋体"/>
          <w:sz w:val="24"/>
          <w:szCs w:val="24"/>
        </w:rPr>
        <w:t>竞争性磋商</w:t>
      </w:r>
      <w:bookmarkEnd w:id="67"/>
      <w:r>
        <w:rPr>
          <w:rFonts w:hint="eastAsia" w:ascii="宋体" w:hAnsi="宋体"/>
          <w:sz w:val="24"/>
          <w:szCs w:val="24"/>
          <w:lang w:val="en-US"/>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本项目采用竞争性磋商的方式，将向符合本项目资质要求的供应商发送竞争性磋商邀请书，在竞争性磋商邀请书中载明采购人地址、竞争性磋商项目的性质、数量、实施地点和时间以及获取磋商文件的办法等事项，自磋商文件开始发出之日起至供应商提交首次响应文件截止之日止，不得少于10日。</w:t>
      </w:r>
    </w:p>
    <w:p>
      <w:pPr>
        <w:pStyle w:val="4"/>
        <w:spacing w:before="0" w:after="0" w:line="360" w:lineRule="auto"/>
        <w:ind w:firstLine="1205"/>
        <w:contextualSpacing/>
        <w:rPr>
          <w:rFonts w:ascii="宋体" w:hAnsi="宋体"/>
          <w:sz w:val="24"/>
          <w:szCs w:val="24"/>
        </w:rPr>
      </w:pPr>
      <w:bookmarkStart w:id="68" w:name="_Toc452012038"/>
      <w:bookmarkStart w:id="69" w:name="_Toc500278629"/>
      <w:bookmarkStart w:id="70" w:name="_Toc20230413"/>
      <w:r>
        <w:rPr>
          <w:rFonts w:hint="eastAsia" w:ascii="宋体" w:hAnsi="宋体"/>
          <w:sz w:val="24"/>
          <w:szCs w:val="24"/>
        </w:rPr>
        <w:t>3、磋商文件说明</w:t>
      </w:r>
      <w:bookmarkEnd w:id="68"/>
      <w:bookmarkEnd w:id="69"/>
      <w:bookmarkEnd w:id="70"/>
    </w:p>
    <w:p>
      <w:pPr>
        <w:pStyle w:val="4"/>
        <w:spacing w:before="0" w:after="0" w:line="360" w:lineRule="auto"/>
        <w:ind w:firstLine="1205"/>
        <w:contextualSpacing/>
        <w:rPr>
          <w:rFonts w:ascii="宋体" w:hAnsi="宋体"/>
          <w:sz w:val="24"/>
          <w:szCs w:val="24"/>
        </w:rPr>
      </w:pPr>
      <w:bookmarkStart w:id="71" w:name="_Toc452012039"/>
      <w:bookmarkStart w:id="72" w:name="_Toc20230414"/>
      <w:bookmarkStart w:id="73" w:name="_Toc500278630"/>
      <w:r>
        <w:rPr>
          <w:rFonts w:hint="eastAsia" w:ascii="宋体" w:hAnsi="宋体"/>
          <w:sz w:val="24"/>
          <w:szCs w:val="24"/>
        </w:rPr>
        <w:t>3.1、磋商文件的构成</w:t>
      </w:r>
      <w:bookmarkEnd w:id="71"/>
      <w:bookmarkEnd w:id="72"/>
      <w:bookmarkEnd w:id="73"/>
    </w:p>
    <w:p>
      <w:pPr>
        <w:spacing w:line="360" w:lineRule="auto"/>
        <w:ind w:firstLine="480" w:firstLineChars="200"/>
        <w:rPr>
          <w:rFonts w:ascii="宋体" w:hAnsi="宋体"/>
          <w:sz w:val="24"/>
        </w:rPr>
      </w:pPr>
      <w:r>
        <w:rPr>
          <w:rFonts w:hint="eastAsia" w:ascii="宋体" w:hAnsi="宋体"/>
          <w:sz w:val="24"/>
        </w:rPr>
        <w:t>3.1.1 磋商文件用以阐明所需的服务购买、磋商程序和合同条件。磋商文件包括：</w:t>
      </w:r>
    </w:p>
    <w:p>
      <w:pPr>
        <w:spacing w:line="360" w:lineRule="auto"/>
        <w:ind w:firstLine="480" w:firstLineChars="200"/>
        <w:rPr>
          <w:rFonts w:ascii="宋体" w:hAnsi="宋体"/>
          <w:sz w:val="24"/>
        </w:rPr>
      </w:pPr>
      <w:r>
        <w:rPr>
          <w:rFonts w:hint="eastAsia" w:ascii="宋体" w:hAnsi="宋体"/>
          <w:sz w:val="24"/>
        </w:rPr>
        <w:t>（1）竞争性磋商邀请书</w:t>
      </w:r>
    </w:p>
    <w:p>
      <w:pPr>
        <w:spacing w:line="360" w:lineRule="auto"/>
        <w:ind w:firstLine="480" w:firstLineChars="200"/>
        <w:rPr>
          <w:rFonts w:ascii="宋体" w:hAnsi="宋体"/>
          <w:sz w:val="24"/>
        </w:rPr>
      </w:pPr>
      <w:r>
        <w:rPr>
          <w:rFonts w:hint="eastAsia" w:ascii="宋体" w:hAnsi="宋体"/>
          <w:sz w:val="24"/>
        </w:rPr>
        <w:t>（2）供应商须知</w:t>
      </w:r>
    </w:p>
    <w:p>
      <w:pPr>
        <w:spacing w:line="360" w:lineRule="auto"/>
        <w:ind w:firstLine="480" w:firstLineChars="200"/>
        <w:rPr>
          <w:rFonts w:ascii="宋体" w:hAnsi="宋体"/>
          <w:sz w:val="24"/>
        </w:rPr>
      </w:pPr>
      <w:r>
        <w:rPr>
          <w:rFonts w:hint="eastAsia" w:ascii="宋体" w:hAnsi="宋体"/>
          <w:sz w:val="24"/>
        </w:rPr>
        <w:t>（3）采购合同</w:t>
      </w:r>
    </w:p>
    <w:p>
      <w:pPr>
        <w:spacing w:line="360" w:lineRule="auto"/>
        <w:ind w:firstLine="480" w:firstLineChars="200"/>
        <w:rPr>
          <w:rFonts w:ascii="宋体" w:hAnsi="宋体"/>
          <w:sz w:val="24"/>
        </w:rPr>
      </w:pPr>
      <w:r>
        <w:rPr>
          <w:rFonts w:hint="eastAsia" w:ascii="宋体" w:hAnsi="宋体"/>
          <w:sz w:val="24"/>
        </w:rPr>
        <w:t>（4）采购需求</w:t>
      </w:r>
    </w:p>
    <w:p>
      <w:pPr>
        <w:spacing w:line="360" w:lineRule="auto"/>
        <w:ind w:firstLine="480" w:firstLineChars="200"/>
        <w:rPr>
          <w:rFonts w:ascii="宋体" w:hAnsi="宋体"/>
          <w:sz w:val="24"/>
        </w:rPr>
      </w:pPr>
      <w:r>
        <w:rPr>
          <w:rFonts w:hint="eastAsia" w:ascii="宋体" w:hAnsi="宋体"/>
          <w:sz w:val="24"/>
        </w:rPr>
        <w:t>（5）响应文件格式</w:t>
      </w:r>
    </w:p>
    <w:p>
      <w:pPr>
        <w:pStyle w:val="4"/>
        <w:spacing w:before="0" w:after="0" w:line="360" w:lineRule="auto"/>
        <w:ind w:firstLine="1205"/>
        <w:contextualSpacing/>
        <w:rPr>
          <w:rFonts w:ascii="宋体" w:hAnsi="宋体"/>
          <w:sz w:val="24"/>
          <w:szCs w:val="24"/>
        </w:rPr>
      </w:pPr>
      <w:bookmarkStart w:id="74" w:name="_Toc20230415"/>
      <w:bookmarkStart w:id="75" w:name="_Toc452012040"/>
      <w:bookmarkStart w:id="76" w:name="_Toc500278631"/>
      <w:r>
        <w:rPr>
          <w:rFonts w:hint="eastAsia" w:ascii="宋体" w:hAnsi="宋体"/>
          <w:sz w:val="24"/>
          <w:szCs w:val="24"/>
        </w:rPr>
        <w:t>3.2、磋商文件的编制</w:t>
      </w:r>
      <w:bookmarkEnd w:id="74"/>
      <w:bookmarkEnd w:id="75"/>
      <w:bookmarkEnd w:id="76"/>
    </w:p>
    <w:p>
      <w:pPr>
        <w:widowControl/>
        <w:spacing w:line="360" w:lineRule="auto"/>
        <w:ind w:firstLine="480" w:firstLineChars="200"/>
        <w:rPr>
          <w:rFonts w:ascii="宋体" w:hAnsi="宋体" w:cs="宋体"/>
          <w:snapToGrid w:val="0"/>
          <w:kern w:val="0"/>
          <w:sz w:val="24"/>
        </w:rPr>
      </w:pPr>
      <w:r>
        <w:rPr>
          <w:rFonts w:hint="eastAsia" w:ascii="宋体" w:hAnsi="宋体"/>
          <w:snapToGrid w:val="0"/>
          <w:kern w:val="0"/>
          <w:sz w:val="24"/>
        </w:rPr>
        <w:t>3.2.1磋商</w:t>
      </w:r>
      <w:r>
        <w:rPr>
          <w:rFonts w:hint="eastAsia" w:ascii="宋体" w:hAnsi="宋体" w:cs="宋体"/>
          <w:snapToGrid w:val="0"/>
          <w:kern w:val="0"/>
          <w:sz w:val="24"/>
        </w:rPr>
        <w:t>文件是根据采购项目的特点和采购人的实际需求制定，并经采购人书面同意。</w:t>
      </w:r>
      <w:r>
        <w:rPr>
          <w:rFonts w:hint="eastAsia" w:ascii="宋体" w:hAnsi="宋体"/>
          <w:snapToGrid w:val="0"/>
          <w:kern w:val="0"/>
          <w:sz w:val="24"/>
        </w:rPr>
        <w:t>磋商</w:t>
      </w:r>
      <w:r>
        <w:rPr>
          <w:rFonts w:hint="eastAsia" w:ascii="宋体" w:hAnsi="宋体" w:cs="宋体"/>
          <w:snapToGrid w:val="0"/>
          <w:kern w:val="0"/>
          <w:sz w:val="24"/>
        </w:rPr>
        <w:t>文件不得要求或者标明供应商名称或者特定品牌，不得含有指向特定供应商的技术、服务等条件。</w:t>
      </w:r>
    </w:p>
    <w:p>
      <w:pPr>
        <w:pStyle w:val="4"/>
        <w:spacing w:before="0" w:after="0" w:line="360" w:lineRule="auto"/>
        <w:ind w:firstLine="1205"/>
        <w:contextualSpacing/>
        <w:rPr>
          <w:rFonts w:ascii="宋体" w:hAnsi="宋体"/>
          <w:sz w:val="24"/>
          <w:szCs w:val="24"/>
          <w:lang w:val="en-US"/>
        </w:rPr>
      </w:pPr>
      <w:bookmarkStart w:id="77" w:name="_Toc452012041"/>
      <w:bookmarkStart w:id="78" w:name="_Toc500278632"/>
      <w:bookmarkStart w:id="79" w:name="_Toc20230416"/>
      <w:r>
        <w:rPr>
          <w:rFonts w:hint="eastAsia" w:ascii="宋体" w:hAnsi="宋体"/>
          <w:sz w:val="24"/>
          <w:szCs w:val="24"/>
          <w:lang w:val="en-US"/>
        </w:rPr>
        <w:t>3.3</w:t>
      </w:r>
      <w:r>
        <w:rPr>
          <w:rFonts w:hint="eastAsia" w:ascii="宋体" w:hAnsi="宋体"/>
          <w:sz w:val="24"/>
          <w:szCs w:val="24"/>
        </w:rPr>
        <w:t>、磋商文件的澄清与修改</w:t>
      </w:r>
      <w:bookmarkEnd w:id="77"/>
      <w:bookmarkEnd w:id="78"/>
      <w:bookmarkEnd w:id="79"/>
    </w:p>
    <w:p>
      <w:pPr>
        <w:widowControl/>
        <w:spacing w:line="360" w:lineRule="auto"/>
        <w:ind w:firstLine="480" w:firstLineChars="200"/>
        <w:rPr>
          <w:rFonts w:ascii="宋体" w:hAnsi="宋体" w:cs="宋体"/>
          <w:snapToGrid w:val="0"/>
          <w:kern w:val="0"/>
          <w:sz w:val="24"/>
        </w:rPr>
      </w:pPr>
      <w:r>
        <w:rPr>
          <w:rFonts w:hint="eastAsia" w:ascii="宋体" w:hAnsi="宋体"/>
          <w:sz w:val="24"/>
        </w:rPr>
        <w:t>3.3.1</w:t>
      </w:r>
      <w:r>
        <w:rPr>
          <w:rFonts w:hint="eastAsia" w:ascii="宋体" w:hAnsi="宋体" w:cs="宋体"/>
          <w:snapToGrid w:val="0"/>
          <w:kern w:val="0"/>
          <w:sz w:val="24"/>
        </w:rPr>
        <w:t>提交首次响应文件截止之日前，采购人或者磋商小组可以对已发出的磋商文件进行必要的澄清或者修改，澄清或者修改的内容作为磋商文件的组成部分。澄清或者修改的内容可能影响响应文件编制的，采购人应当在提交首次响应文件截止时间至少5个工作日前，以书面形式通知所有获取磋商文件的供应商；不足5个工作日的，采购人、应当顺延提交首次响应文件截止时间。</w:t>
      </w:r>
    </w:p>
    <w:p>
      <w:pPr>
        <w:pStyle w:val="4"/>
        <w:spacing w:before="0" w:after="0" w:line="360" w:lineRule="auto"/>
        <w:ind w:firstLine="1205"/>
        <w:contextualSpacing/>
        <w:rPr>
          <w:rFonts w:ascii="宋体" w:hAnsi="宋体"/>
          <w:sz w:val="24"/>
          <w:szCs w:val="24"/>
        </w:rPr>
      </w:pPr>
      <w:bookmarkStart w:id="80" w:name="_Toc20230417"/>
      <w:bookmarkStart w:id="81" w:name="_Toc500278633"/>
      <w:bookmarkStart w:id="82" w:name="_Toc452012042"/>
      <w:r>
        <w:rPr>
          <w:rFonts w:hint="eastAsia" w:ascii="宋体" w:hAnsi="宋体"/>
          <w:sz w:val="24"/>
          <w:szCs w:val="24"/>
        </w:rPr>
        <w:t>4、响应文件的编写</w:t>
      </w:r>
      <w:bookmarkEnd w:id="80"/>
      <w:bookmarkEnd w:id="81"/>
      <w:bookmarkEnd w:id="82"/>
    </w:p>
    <w:p>
      <w:pPr>
        <w:pStyle w:val="4"/>
        <w:spacing w:before="0" w:after="0" w:line="360" w:lineRule="auto"/>
        <w:ind w:firstLine="1205"/>
        <w:contextualSpacing/>
        <w:rPr>
          <w:rFonts w:ascii="宋体" w:hAnsi="宋体"/>
          <w:sz w:val="24"/>
          <w:szCs w:val="24"/>
        </w:rPr>
      </w:pPr>
      <w:bookmarkStart w:id="83" w:name="_Toc500278634"/>
      <w:bookmarkStart w:id="84" w:name="_Toc452012043"/>
      <w:bookmarkStart w:id="85" w:name="_Toc20230418"/>
      <w:r>
        <w:rPr>
          <w:rFonts w:hint="eastAsia" w:ascii="宋体" w:hAnsi="宋体"/>
          <w:sz w:val="24"/>
          <w:szCs w:val="24"/>
        </w:rPr>
        <w:t>4.1、响应文件语言</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4.1.1 由供应商编写的响应文件和往来书信应以中文书写。</w:t>
      </w:r>
    </w:p>
    <w:p>
      <w:pPr>
        <w:pStyle w:val="4"/>
        <w:spacing w:before="0" w:after="0" w:line="360" w:lineRule="auto"/>
        <w:ind w:firstLine="1205"/>
        <w:contextualSpacing/>
        <w:rPr>
          <w:rFonts w:ascii="宋体" w:hAnsi="宋体"/>
          <w:sz w:val="24"/>
          <w:szCs w:val="24"/>
        </w:rPr>
      </w:pPr>
      <w:bookmarkStart w:id="86" w:name="_Toc500278635"/>
      <w:bookmarkStart w:id="87" w:name="_Toc20230419"/>
      <w:bookmarkStart w:id="88" w:name="_Toc452012044"/>
      <w:r>
        <w:rPr>
          <w:rFonts w:hint="eastAsia" w:ascii="宋体" w:hAnsi="宋体"/>
          <w:sz w:val="24"/>
          <w:szCs w:val="24"/>
        </w:rPr>
        <w:t>4.2、计量单位</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4.2.1 除在磋商文件的采购需求中另有规定外，计量单位应使用中华人民共和国法定计量单位。</w:t>
      </w:r>
    </w:p>
    <w:p>
      <w:pPr>
        <w:pStyle w:val="4"/>
        <w:spacing w:before="0" w:after="0" w:line="360" w:lineRule="auto"/>
        <w:ind w:firstLine="1205"/>
        <w:contextualSpacing/>
        <w:rPr>
          <w:rFonts w:ascii="宋体" w:hAnsi="宋体"/>
          <w:sz w:val="24"/>
          <w:szCs w:val="24"/>
        </w:rPr>
      </w:pPr>
      <w:bookmarkStart w:id="89" w:name="_Toc500278636"/>
      <w:bookmarkStart w:id="90" w:name="_Toc452012045"/>
      <w:bookmarkStart w:id="91" w:name="_Toc20230420"/>
      <w:r>
        <w:rPr>
          <w:rFonts w:hint="eastAsia" w:ascii="宋体" w:hAnsi="宋体"/>
          <w:sz w:val="24"/>
          <w:szCs w:val="24"/>
        </w:rPr>
        <w:t>4.3、响应文件的组成</w:t>
      </w:r>
      <w:bookmarkEnd w:id="89"/>
      <w:bookmarkEnd w:id="90"/>
      <w:bookmarkEnd w:id="91"/>
    </w:p>
    <w:p>
      <w:pPr>
        <w:spacing w:line="360" w:lineRule="auto"/>
        <w:ind w:firstLine="480" w:firstLineChars="200"/>
        <w:rPr>
          <w:rFonts w:ascii="宋体" w:hAnsi="宋体"/>
          <w:sz w:val="24"/>
        </w:rPr>
      </w:pPr>
      <w:r>
        <w:rPr>
          <w:rFonts w:hint="eastAsia" w:ascii="宋体" w:hAnsi="宋体" w:cs="宋体"/>
          <w:sz w:val="24"/>
        </w:rPr>
        <w:t>4.3.1</w:t>
      </w:r>
      <w:r>
        <w:rPr>
          <w:rFonts w:hint="eastAsia" w:ascii="宋体" w:hAnsi="宋体"/>
          <w:sz w:val="24"/>
        </w:rPr>
        <w:t>供应商编写的响应文件应包括下列部分：</w:t>
      </w:r>
    </w:p>
    <w:p>
      <w:pPr>
        <w:spacing w:line="360" w:lineRule="auto"/>
        <w:ind w:firstLine="1205" w:firstLineChars="500"/>
        <w:rPr>
          <w:rFonts w:ascii="宋体" w:hAnsi="宋体" w:cs="宋体"/>
          <w:b/>
          <w:bCs/>
          <w:sz w:val="24"/>
        </w:rPr>
      </w:pPr>
      <w:r>
        <w:rPr>
          <w:rFonts w:hint="eastAsia" w:ascii="宋体" w:hAnsi="宋体" w:cs="宋体"/>
          <w:b/>
          <w:bCs/>
          <w:sz w:val="24"/>
        </w:rPr>
        <w:t>价格部分：</w:t>
      </w:r>
    </w:p>
    <w:p>
      <w:pPr>
        <w:spacing w:line="360" w:lineRule="auto"/>
        <w:ind w:firstLine="1200" w:firstLineChars="500"/>
        <w:rPr>
          <w:rFonts w:ascii="宋体" w:hAnsi="宋体" w:cs="宋体"/>
          <w:sz w:val="24"/>
        </w:rPr>
      </w:pPr>
      <w:r>
        <w:rPr>
          <w:rFonts w:hint="eastAsia" w:ascii="宋体" w:hAnsi="宋体" w:cs="宋体"/>
          <w:sz w:val="24"/>
        </w:rPr>
        <w:t>1.磋商申请函；</w:t>
      </w:r>
    </w:p>
    <w:p>
      <w:pPr>
        <w:spacing w:line="360" w:lineRule="auto"/>
        <w:ind w:firstLine="1200" w:firstLineChars="500"/>
        <w:rPr>
          <w:rFonts w:ascii="宋体" w:hAnsi="宋体" w:cs="宋体"/>
          <w:sz w:val="24"/>
        </w:rPr>
      </w:pPr>
      <w:r>
        <w:rPr>
          <w:rFonts w:hint="eastAsia" w:ascii="宋体" w:hAnsi="宋体" w:cs="宋体"/>
          <w:sz w:val="24"/>
        </w:rPr>
        <w:t>2.磋商申请函附录</w:t>
      </w:r>
    </w:p>
    <w:p>
      <w:pPr>
        <w:spacing w:line="360" w:lineRule="auto"/>
        <w:ind w:firstLine="1200" w:firstLineChars="500"/>
        <w:rPr>
          <w:rFonts w:ascii="宋体" w:hAnsi="宋体" w:cs="宋体"/>
          <w:sz w:val="24"/>
        </w:rPr>
      </w:pPr>
      <w:r>
        <w:rPr>
          <w:rFonts w:hint="eastAsia" w:ascii="宋体" w:hAnsi="宋体" w:cs="宋体"/>
          <w:sz w:val="24"/>
        </w:rPr>
        <w:t>3.分项（明细）报价表</w:t>
      </w:r>
    </w:p>
    <w:p>
      <w:pPr>
        <w:spacing w:line="360" w:lineRule="auto"/>
        <w:ind w:firstLine="1205" w:firstLineChars="500"/>
        <w:rPr>
          <w:rFonts w:ascii="宋体" w:hAnsi="宋体"/>
          <w:b/>
          <w:bCs/>
          <w:sz w:val="24"/>
          <w:szCs w:val="21"/>
        </w:rPr>
      </w:pPr>
      <w:r>
        <w:rPr>
          <w:rFonts w:hint="eastAsia" w:ascii="宋体" w:hAnsi="宋体"/>
          <w:b/>
          <w:bCs/>
          <w:sz w:val="24"/>
          <w:szCs w:val="21"/>
        </w:rPr>
        <w:t>资格审查资料</w:t>
      </w:r>
    </w:p>
    <w:p>
      <w:pPr>
        <w:spacing w:line="360" w:lineRule="auto"/>
        <w:ind w:firstLine="1205" w:firstLineChars="500"/>
        <w:rPr>
          <w:rFonts w:ascii="宋体" w:hAnsi="宋体" w:cs="宋体"/>
          <w:b/>
          <w:bCs/>
          <w:sz w:val="24"/>
        </w:rPr>
      </w:pPr>
      <w:r>
        <w:rPr>
          <w:rFonts w:hint="eastAsia" w:ascii="宋体" w:hAnsi="宋体" w:cs="宋体"/>
          <w:b/>
          <w:bCs/>
          <w:sz w:val="24"/>
        </w:rPr>
        <w:t>详见“第一章 竞争性磋商公告”</w:t>
      </w:r>
    </w:p>
    <w:p>
      <w:pPr>
        <w:spacing w:line="360" w:lineRule="auto"/>
        <w:ind w:firstLine="1205" w:firstLineChars="500"/>
        <w:rPr>
          <w:rFonts w:ascii="宋体" w:hAnsi="宋体" w:cs="宋体"/>
          <w:b/>
          <w:bCs/>
          <w:sz w:val="24"/>
        </w:rPr>
      </w:pPr>
      <w:r>
        <w:rPr>
          <w:rFonts w:hint="eastAsia" w:ascii="宋体" w:hAnsi="宋体" w:cs="宋体"/>
          <w:b/>
          <w:bCs/>
          <w:sz w:val="24"/>
        </w:rPr>
        <w:t>以上提交的复印件必须加盖公章或有磋商供应商负责人（或授权人）的签字或签章。</w:t>
      </w:r>
    </w:p>
    <w:p>
      <w:pPr>
        <w:spacing w:line="360" w:lineRule="auto"/>
        <w:ind w:firstLine="1205" w:firstLineChars="500"/>
        <w:rPr>
          <w:rFonts w:ascii="宋体" w:hAnsi="宋体" w:cs="宋体"/>
          <w:b/>
          <w:bCs/>
          <w:sz w:val="24"/>
        </w:rPr>
      </w:pPr>
      <w:r>
        <w:rPr>
          <w:rFonts w:hint="eastAsia" w:ascii="宋体" w:hAnsi="宋体" w:cs="宋体"/>
          <w:b/>
          <w:bCs/>
          <w:sz w:val="24"/>
        </w:rPr>
        <w:t>商务技术部分：</w:t>
      </w:r>
    </w:p>
    <w:p>
      <w:pPr>
        <w:spacing w:line="360" w:lineRule="auto"/>
        <w:ind w:firstLine="1200" w:firstLineChars="500"/>
        <w:rPr>
          <w:rFonts w:ascii="宋体" w:hAnsi="宋体" w:cs="宋体"/>
          <w:sz w:val="24"/>
        </w:rPr>
      </w:pPr>
      <w:r>
        <w:rPr>
          <w:rFonts w:hint="eastAsia" w:ascii="宋体" w:hAnsi="宋体" w:cs="宋体"/>
          <w:sz w:val="24"/>
        </w:rPr>
        <w:t>1.管理体系认证</w:t>
      </w:r>
    </w:p>
    <w:p>
      <w:pPr>
        <w:spacing w:line="360" w:lineRule="auto"/>
        <w:ind w:firstLine="1200" w:firstLineChars="500"/>
        <w:rPr>
          <w:rFonts w:ascii="宋体" w:hAnsi="宋体" w:cs="宋体"/>
          <w:sz w:val="24"/>
        </w:rPr>
      </w:pPr>
      <w:r>
        <w:rPr>
          <w:rFonts w:hint="eastAsia" w:ascii="宋体" w:hAnsi="宋体" w:cs="宋体"/>
          <w:sz w:val="24"/>
        </w:rPr>
        <w:t>2.近三年同类项目的业绩证明</w:t>
      </w:r>
    </w:p>
    <w:p>
      <w:pPr>
        <w:spacing w:line="360" w:lineRule="auto"/>
        <w:ind w:firstLine="1200" w:firstLineChars="500"/>
        <w:rPr>
          <w:rFonts w:ascii="宋体" w:hAnsi="宋体" w:cs="宋体"/>
          <w:sz w:val="24"/>
        </w:rPr>
      </w:pPr>
      <w:r>
        <w:rPr>
          <w:rFonts w:hint="eastAsia" w:ascii="宋体" w:hAnsi="宋体" w:cs="宋体"/>
          <w:sz w:val="24"/>
        </w:rPr>
        <w:t>3.采购需求响应/偏离表格式</w:t>
      </w:r>
    </w:p>
    <w:p>
      <w:pPr>
        <w:spacing w:line="360" w:lineRule="auto"/>
        <w:ind w:firstLine="1200" w:firstLineChars="500"/>
        <w:rPr>
          <w:rFonts w:ascii="宋体" w:hAnsi="宋体"/>
          <w:sz w:val="24"/>
          <w:szCs w:val="21"/>
        </w:rPr>
      </w:pPr>
      <w:r>
        <w:rPr>
          <w:rFonts w:hint="eastAsia" w:ascii="宋体" w:hAnsi="宋体"/>
          <w:sz w:val="24"/>
          <w:szCs w:val="21"/>
        </w:rPr>
        <w:t>4.项目全年服务方案</w:t>
      </w:r>
    </w:p>
    <w:p>
      <w:pPr>
        <w:spacing w:line="360" w:lineRule="auto"/>
        <w:ind w:firstLine="1200" w:firstLineChars="500"/>
        <w:rPr>
          <w:rFonts w:ascii="宋体" w:hAnsi="宋体"/>
          <w:sz w:val="24"/>
          <w:szCs w:val="21"/>
        </w:rPr>
      </w:pPr>
      <w:r>
        <w:rPr>
          <w:rFonts w:hint="eastAsia" w:ascii="宋体" w:hAnsi="宋体"/>
          <w:sz w:val="24"/>
          <w:szCs w:val="21"/>
        </w:rPr>
        <w:t>5.应急预案（安全事故情况的处理预案）</w:t>
      </w:r>
    </w:p>
    <w:p>
      <w:pPr>
        <w:spacing w:line="360" w:lineRule="auto"/>
        <w:ind w:firstLine="1200" w:firstLineChars="500"/>
        <w:rPr>
          <w:rFonts w:ascii="宋体" w:hAnsi="宋体"/>
          <w:sz w:val="24"/>
          <w:szCs w:val="21"/>
        </w:rPr>
      </w:pPr>
      <w:r>
        <w:rPr>
          <w:rFonts w:hint="eastAsia" w:ascii="宋体" w:hAnsi="宋体"/>
          <w:sz w:val="24"/>
          <w:szCs w:val="21"/>
        </w:rPr>
        <w:t>6.</w:t>
      </w:r>
      <w:r>
        <w:rPr>
          <w:rFonts w:ascii="宋体" w:hAnsi="宋体"/>
          <w:sz w:val="24"/>
          <w:szCs w:val="21"/>
        </w:rPr>
        <w:t>员工培训计划及课件（专项培训、入职培训、员工从业经历等）</w:t>
      </w:r>
    </w:p>
    <w:p>
      <w:pPr>
        <w:spacing w:line="360" w:lineRule="auto"/>
        <w:ind w:firstLine="1200" w:firstLineChars="500"/>
        <w:rPr>
          <w:rFonts w:ascii="宋体" w:hAnsi="宋体"/>
          <w:sz w:val="24"/>
          <w:szCs w:val="21"/>
        </w:rPr>
      </w:pPr>
      <w:r>
        <w:rPr>
          <w:rFonts w:hint="eastAsia" w:ascii="宋体" w:hAnsi="宋体"/>
          <w:sz w:val="24"/>
          <w:szCs w:val="21"/>
        </w:rPr>
        <w:t>7.维护作业人员社保证明及承诺</w:t>
      </w:r>
    </w:p>
    <w:p>
      <w:pPr>
        <w:spacing w:line="360" w:lineRule="auto"/>
        <w:ind w:firstLine="1200" w:firstLineChars="500"/>
        <w:rPr>
          <w:rFonts w:ascii="宋体" w:hAnsi="宋体"/>
          <w:sz w:val="24"/>
          <w:szCs w:val="21"/>
        </w:rPr>
      </w:pPr>
      <w:r>
        <w:rPr>
          <w:rFonts w:hint="eastAsia" w:ascii="宋体" w:hAnsi="宋体"/>
          <w:sz w:val="24"/>
          <w:szCs w:val="21"/>
        </w:rPr>
        <w:t>8.机组保养材料及备品备件报价明细表</w:t>
      </w:r>
    </w:p>
    <w:p>
      <w:pPr>
        <w:spacing w:line="360" w:lineRule="auto"/>
        <w:ind w:firstLine="1200" w:firstLineChars="500"/>
        <w:rPr>
          <w:rFonts w:ascii="宋体" w:hAnsi="宋体"/>
          <w:sz w:val="24"/>
          <w:szCs w:val="21"/>
        </w:rPr>
      </w:pPr>
      <w:r>
        <w:rPr>
          <w:rFonts w:hint="eastAsia" w:ascii="宋体" w:hAnsi="宋体"/>
          <w:sz w:val="24"/>
          <w:szCs w:val="21"/>
        </w:rPr>
        <w:t>9.供应商认为应该提供的其它书面证明材料</w:t>
      </w:r>
      <w:r>
        <w:rPr>
          <w:rFonts w:hint="eastAsia" w:ascii="宋体" w:hAnsi="宋体"/>
          <w:sz w:val="24"/>
          <w:szCs w:val="21"/>
        </w:rPr>
        <w:tab/>
      </w:r>
    </w:p>
    <w:p>
      <w:pPr>
        <w:pStyle w:val="4"/>
        <w:spacing w:before="0" w:after="0" w:line="360" w:lineRule="auto"/>
        <w:ind w:firstLine="1205"/>
        <w:contextualSpacing/>
        <w:rPr>
          <w:rFonts w:ascii="宋体" w:hAnsi="宋体"/>
          <w:sz w:val="24"/>
          <w:szCs w:val="24"/>
        </w:rPr>
      </w:pPr>
      <w:bookmarkStart w:id="92" w:name="_Toc500278637"/>
      <w:bookmarkStart w:id="93" w:name="_Toc20230421"/>
      <w:bookmarkStart w:id="94" w:name="_Toc452012046"/>
      <w:r>
        <w:rPr>
          <w:rFonts w:hint="eastAsia" w:ascii="宋体" w:hAnsi="宋体"/>
          <w:sz w:val="24"/>
          <w:szCs w:val="24"/>
        </w:rPr>
        <w:t>4.4、响应文件格式</w:t>
      </w:r>
      <w:bookmarkEnd w:id="92"/>
      <w:bookmarkEnd w:id="93"/>
      <w:bookmarkEnd w:id="94"/>
    </w:p>
    <w:p>
      <w:pPr>
        <w:spacing w:line="360" w:lineRule="auto"/>
        <w:ind w:firstLine="480" w:firstLineChars="200"/>
        <w:rPr>
          <w:rFonts w:ascii="宋体" w:hAnsi="宋体"/>
          <w:sz w:val="24"/>
        </w:rPr>
      </w:pPr>
      <w:r>
        <w:rPr>
          <w:rFonts w:hint="eastAsia" w:ascii="宋体" w:hAnsi="宋体"/>
          <w:sz w:val="24"/>
        </w:rPr>
        <w:t>4.4.1供应商应按磋商文件附件中提供的响应文件格式逐项填写各文件并提交相应证明资料。</w:t>
      </w:r>
    </w:p>
    <w:p>
      <w:pPr>
        <w:pStyle w:val="4"/>
        <w:spacing w:before="0" w:after="0" w:line="360" w:lineRule="auto"/>
        <w:ind w:firstLine="1205"/>
        <w:contextualSpacing/>
        <w:rPr>
          <w:rFonts w:ascii="宋体" w:hAnsi="宋体"/>
          <w:sz w:val="24"/>
          <w:szCs w:val="24"/>
        </w:rPr>
      </w:pPr>
      <w:bookmarkStart w:id="95" w:name="_Toc500278638"/>
      <w:bookmarkStart w:id="96" w:name="_Toc20230422"/>
      <w:bookmarkStart w:id="97" w:name="_Toc452012047"/>
      <w:r>
        <w:rPr>
          <w:rFonts w:hint="eastAsia" w:ascii="宋体" w:hAnsi="宋体"/>
          <w:sz w:val="24"/>
          <w:szCs w:val="24"/>
        </w:rPr>
        <w:t>4.5、磋商报价</w:t>
      </w:r>
      <w:bookmarkEnd w:id="95"/>
      <w:bookmarkEnd w:id="96"/>
      <w:bookmarkEnd w:id="97"/>
    </w:p>
    <w:p>
      <w:pPr>
        <w:spacing w:line="360" w:lineRule="auto"/>
        <w:ind w:firstLine="480" w:firstLineChars="200"/>
        <w:rPr>
          <w:rFonts w:ascii="宋体" w:hAnsi="宋体"/>
          <w:sz w:val="24"/>
        </w:rPr>
      </w:pPr>
      <w:r>
        <w:rPr>
          <w:rFonts w:hint="eastAsia" w:ascii="宋体" w:hAnsi="宋体"/>
          <w:sz w:val="24"/>
        </w:rPr>
        <w:t>4.5.1各供应商根据本单位情况按照磋商申请函附录的要求进行报价。</w:t>
      </w:r>
    </w:p>
    <w:p>
      <w:pPr>
        <w:spacing w:line="360" w:lineRule="auto"/>
        <w:ind w:firstLine="480" w:firstLineChars="200"/>
        <w:rPr>
          <w:rFonts w:ascii="宋体" w:hAnsi="宋体"/>
          <w:sz w:val="24"/>
        </w:rPr>
      </w:pPr>
      <w:r>
        <w:rPr>
          <w:rFonts w:hint="eastAsia" w:ascii="宋体" w:hAnsi="宋体"/>
          <w:sz w:val="24"/>
        </w:rPr>
        <w:t>4.5.2本项目最高投标限价</w:t>
      </w:r>
      <w:r>
        <w:rPr>
          <w:rFonts w:hint="eastAsia" w:ascii="宋体" w:hAnsi="宋体"/>
          <w:color w:val="FF0000"/>
          <w:sz w:val="24"/>
        </w:rPr>
        <w:t>17万元</w:t>
      </w:r>
      <w:r>
        <w:rPr>
          <w:rFonts w:hint="eastAsia" w:ascii="宋体" w:hAnsi="宋体"/>
          <w:sz w:val="24"/>
        </w:rPr>
        <w:t>。供应商投标报价不超过最高投标限价。</w:t>
      </w:r>
    </w:p>
    <w:p>
      <w:pPr>
        <w:pStyle w:val="4"/>
        <w:spacing w:before="0" w:after="0" w:line="360" w:lineRule="auto"/>
        <w:ind w:firstLine="1205"/>
        <w:contextualSpacing/>
        <w:rPr>
          <w:rFonts w:ascii="宋体" w:hAnsi="宋体"/>
          <w:strike/>
          <w:sz w:val="24"/>
          <w:szCs w:val="24"/>
        </w:rPr>
      </w:pPr>
      <w:bookmarkStart w:id="98" w:name="_Toc500278639"/>
      <w:bookmarkStart w:id="99" w:name="_Toc20230423"/>
      <w:bookmarkStart w:id="100" w:name="_Toc452012048"/>
      <w:r>
        <w:rPr>
          <w:rFonts w:hint="eastAsia" w:ascii="宋体" w:hAnsi="宋体"/>
          <w:sz w:val="24"/>
          <w:szCs w:val="24"/>
        </w:rPr>
        <w:t>4.6、磋商保证金</w:t>
      </w:r>
      <w:bookmarkEnd w:id="98"/>
      <w:bookmarkEnd w:id="99"/>
      <w:bookmarkEnd w:id="100"/>
      <w:r>
        <w:rPr>
          <w:rFonts w:hint="eastAsia" w:ascii="宋体" w:hAnsi="宋体"/>
          <w:sz w:val="24"/>
          <w:szCs w:val="24"/>
        </w:rPr>
        <w:t>（无此项）</w:t>
      </w:r>
    </w:p>
    <w:p>
      <w:pPr>
        <w:spacing w:line="360" w:lineRule="auto"/>
        <w:ind w:firstLine="480" w:firstLineChars="200"/>
        <w:rPr>
          <w:rFonts w:ascii="宋体" w:hAnsi="宋体"/>
          <w:sz w:val="24"/>
        </w:rPr>
      </w:pPr>
      <w:r>
        <w:rPr>
          <w:rFonts w:hint="eastAsia" w:ascii="宋体" w:hAnsi="宋体"/>
          <w:sz w:val="24"/>
        </w:rPr>
        <w:t>4.6.1 磋商保证金为响应文件的必须要件。</w:t>
      </w:r>
    </w:p>
    <w:p>
      <w:pPr>
        <w:spacing w:line="360" w:lineRule="auto"/>
        <w:ind w:firstLine="480" w:firstLineChars="200"/>
        <w:rPr>
          <w:rFonts w:ascii="宋体" w:hAnsi="宋体"/>
          <w:bCs/>
          <w:sz w:val="24"/>
        </w:rPr>
      </w:pPr>
      <w:r>
        <w:rPr>
          <w:rFonts w:hint="eastAsia" w:ascii="宋体" w:hAnsi="宋体"/>
          <w:sz w:val="24"/>
        </w:rPr>
        <w:t>4.6.2 供应商应向采购代理机构提交</w:t>
      </w:r>
      <w:r>
        <w:rPr>
          <w:rFonts w:hint="eastAsia" w:ascii="宋体" w:hAnsi="宋体"/>
          <w:bCs/>
          <w:sz w:val="24"/>
        </w:rPr>
        <w:t>磋商保证金。</w:t>
      </w:r>
    </w:p>
    <w:p>
      <w:pPr>
        <w:spacing w:line="360" w:lineRule="auto"/>
        <w:ind w:firstLine="480" w:firstLineChars="200"/>
        <w:rPr>
          <w:rFonts w:ascii="宋体" w:hAnsi="宋体"/>
          <w:sz w:val="24"/>
        </w:rPr>
      </w:pPr>
      <w:r>
        <w:rPr>
          <w:rFonts w:hint="eastAsia" w:ascii="宋体" w:hAnsi="宋体"/>
          <w:sz w:val="24"/>
        </w:rPr>
        <w:t>4.6.3 磋商保证金用于保护采购人免受因供应商行为而蒙受的损失。</w:t>
      </w:r>
    </w:p>
    <w:p>
      <w:pPr>
        <w:spacing w:line="360" w:lineRule="auto"/>
        <w:ind w:firstLine="480" w:firstLineChars="200"/>
        <w:rPr>
          <w:rFonts w:ascii="宋体" w:hAnsi="宋体"/>
          <w:sz w:val="24"/>
        </w:rPr>
      </w:pPr>
      <w:r>
        <w:rPr>
          <w:rFonts w:hint="eastAsia" w:ascii="宋体" w:hAnsi="宋体"/>
          <w:sz w:val="24"/>
        </w:rPr>
        <w:t>4.6.4磋商保证金币种仅限于人民币。磋商保证金可采用转账支票、电汇、供应商在响应文件递交截止时间前，将保证金交到采购代理机构指定账户，</w:t>
      </w:r>
      <w:r>
        <w:rPr>
          <w:rFonts w:hint="eastAsia" w:ascii="宋体" w:hAnsi="宋体"/>
          <w:b/>
          <w:sz w:val="24"/>
        </w:rPr>
        <w:t>磋商保证金应从基本户转出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4.6.5 采购人有权拒绝接收未按规定提交保证金的响应文件。</w:t>
      </w:r>
    </w:p>
    <w:p>
      <w:pPr>
        <w:spacing w:line="360" w:lineRule="auto"/>
        <w:ind w:firstLine="480" w:firstLineChars="200"/>
        <w:jc w:val="left"/>
        <w:rPr>
          <w:rFonts w:ascii="宋体" w:hAnsi="宋体"/>
          <w:sz w:val="24"/>
        </w:rPr>
      </w:pPr>
      <w:r>
        <w:rPr>
          <w:rFonts w:hint="eastAsia" w:ascii="宋体" w:hAnsi="宋体"/>
          <w:sz w:val="24"/>
        </w:rPr>
        <w:t>4.6.6 成交候选供应商及未成交的供应商的磋商保证金，将按规定予以无息退还。未成交供应商的磋商保证金应当在成交通知书发出5个工作日内退还，成交供应商在磋商保证金应当在采购合同签订5个工作日内退还。</w:t>
      </w:r>
    </w:p>
    <w:p>
      <w:pPr>
        <w:spacing w:line="360" w:lineRule="auto"/>
        <w:ind w:firstLine="480" w:firstLineChars="200"/>
        <w:rPr>
          <w:rFonts w:ascii="宋体" w:hAnsi="宋体"/>
          <w:sz w:val="24"/>
        </w:rPr>
      </w:pPr>
      <w:r>
        <w:rPr>
          <w:rFonts w:hint="eastAsia" w:ascii="宋体" w:hAnsi="宋体"/>
          <w:sz w:val="24"/>
        </w:rPr>
        <w:t>4.6.8 有下列情形之一的，磋商保证金不予退还：</w:t>
      </w:r>
    </w:p>
    <w:p>
      <w:pPr>
        <w:spacing w:line="360" w:lineRule="auto"/>
        <w:ind w:firstLine="480" w:firstLineChars="200"/>
        <w:rPr>
          <w:rFonts w:ascii="宋体" w:hAnsi="宋体"/>
          <w:sz w:val="24"/>
        </w:rPr>
      </w:pPr>
      <w:r>
        <w:rPr>
          <w:rFonts w:hint="eastAsia" w:ascii="宋体" w:hAnsi="宋体"/>
          <w:sz w:val="24"/>
        </w:rPr>
        <w:t>（1）供应商在提交响应文件截止时间后撤回响应文件；</w:t>
      </w:r>
    </w:p>
    <w:p>
      <w:pPr>
        <w:spacing w:line="360" w:lineRule="auto"/>
        <w:ind w:firstLine="480" w:firstLineChars="200"/>
        <w:rPr>
          <w:rFonts w:ascii="宋体" w:hAnsi="宋体"/>
          <w:sz w:val="24"/>
        </w:rPr>
      </w:pPr>
      <w:r>
        <w:rPr>
          <w:rFonts w:hint="eastAsia" w:ascii="宋体" w:hAnsi="宋体"/>
          <w:sz w:val="24"/>
        </w:rPr>
        <w:t>（2）供应商在响应文件中提供虚假材料的；</w:t>
      </w:r>
    </w:p>
    <w:p>
      <w:pPr>
        <w:spacing w:line="360" w:lineRule="auto"/>
        <w:ind w:firstLine="480" w:firstLineChars="200"/>
        <w:rPr>
          <w:rFonts w:ascii="宋体" w:hAnsi="宋体"/>
          <w:sz w:val="24"/>
        </w:rPr>
      </w:pPr>
      <w:r>
        <w:rPr>
          <w:rFonts w:hint="eastAsia" w:ascii="宋体" w:hAnsi="宋体"/>
          <w:sz w:val="24"/>
        </w:rPr>
        <w:t>（3）除因不可抗力或磋商文件认可的情形以外，成交供应商不与采购人签订合同的；</w:t>
      </w:r>
    </w:p>
    <w:p>
      <w:pPr>
        <w:spacing w:line="360" w:lineRule="auto"/>
        <w:ind w:firstLine="480" w:firstLineChars="200"/>
        <w:rPr>
          <w:rFonts w:ascii="宋体" w:hAnsi="宋体"/>
          <w:sz w:val="24"/>
        </w:rPr>
      </w:pPr>
      <w:r>
        <w:rPr>
          <w:rFonts w:hint="eastAsia" w:ascii="宋体" w:hAnsi="宋体"/>
          <w:sz w:val="24"/>
        </w:rPr>
        <w:t>（4）供应商与采购人、其他供应商或者采购代理机构恶意串通的；</w:t>
      </w:r>
    </w:p>
    <w:p>
      <w:pPr>
        <w:spacing w:line="360" w:lineRule="auto"/>
        <w:ind w:firstLine="480" w:firstLineChars="200"/>
        <w:rPr>
          <w:rFonts w:ascii="宋体" w:hAnsi="宋体"/>
          <w:sz w:val="24"/>
        </w:rPr>
      </w:pPr>
      <w:r>
        <w:rPr>
          <w:rFonts w:hint="eastAsia" w:ascii="宋体" w:hAnsi="宋体"/>
          <w:sz w:val="24"/>
        </w:rPr>
        <w:t>（5）磋商文件规定的其他情形。</w:t>
      </w:r>
    </w:p>
    <w:p>
      <w:pPr>
        <w:pStyle w:val="4"/>
        <w:spacing w:before="0" w:after="0" w:line="360" w:lineRule="auto"/>
        <w:ind w:firstLine="1205"/>
        <w:contextualSpacing/>
        <w:rPr>
          <w:rFonts w:ascii="宋体" w:hAnsi="宋体"/>
          <w:sz w:val="24"/>
          <w:szCs w:val="24"/>
        </w:rPr>
      </w:pPr>
      <w:bookmarkStart w:id="101" w:name="_Toc500278640"/>
      <w:bookmarkStart w:id="102" w:name="_Toc452012049"/>
      <w:bookmarkStart w:id="103" w:name="_Toc20230424"/>
      <w:r>
        <w:rPr>
          <w:rFonts w:hint="eastAsia" w:ascii="宋体" w:hAnsi="宋体"/>
          <w:sz w:val="24"/>
          <w:szCs w:val="24"/>
        </w:rPr>
        <w:t>4.7、磋商有效期</w:t>
      </w:r>
      <w:bookmarkEnd w:id="101"/>
      <w:bookmarkEnd w:id="102"/>
      <w:bookmarkEnd w:id="103"/>
    </w:p>
    <w:p>
      <w:pPr>
        <w:tabs>
          <w:tab w:val="left" w:pos="540"/>
        </w:tabs>
        <w:spacing w:line="360" w:lineRule="auto"/>
        <w:ind w:firstLine="480" w:firstLineChars="200"/>
        <w:rPr>
          <w:rFonts w:ascii="宋体" w:hAnsi="宋体"/>
          <w:bCs/>
          <w:sz w:val="24"/>
        </w:rPr>
      </w:pPr>
      <w:r>
        <w:rPr>
          <w:rFonts w:hint="eastAsia" w:ascii="宋体" w:hAnsi="宋体"/>
          <w:sz w:val="24"/>
        </w:rPr>
        <w:t xml:space="preserve">4.7.1 </w:t>
      </w:r>
      <w:r>
        <w:rPr>
          <w:rFonts w:hint="eastAsia" w:ascii="宋体" w:hAnsi="宋体"/>
          <w:bCs/>
          <w:sz w:val="24"/>
        </w:rPr>
        <w:t>磋商有效期为90天（从响应文件提交截止之日算起）。响应文件的有效期不足本须知规定的有效期的，将被视为非实质响应性响应文件，</w:t>
      </w:r>
      <w:r>
        <w:rPr>
          <w:rFonts w:hint="eastAsia" w:ascii="宋体" w:hAnsi="宋体"/>
          <w:sz w:val="24"/>
        </w:rPr>
        <w:t>采购</w:t>
      </w:r>
      <w:r>
        <w:rPr>
          <w:rFonts w:hint="eastAsia" w:ascii="宋体" w:hAnsi="宋体"/>
          <w:bCs/>
          <w:sz w:val="24"/>
        </w:rPr>
        <w:t>人有权拒绝其投标申请。</w:t>
      </w:r>
    </w:p>
    <w:p>
      <w:pPr>
        <w:spacing w:line="360" w:lineRule="auto"/>
        <w:ind w:firstLine="480" w:firstLineChars="200"/>
        <w:rPr>
          <w:rFonts w:ascii="宋体" w:hAnsi="宋体"/>
          <w:sz w:val="24"/>
        </w:rPr>
      </w:pPr>
      <w:r>
        <w:rPr>
          <w:rFonts w:hint="eastAsia" w:ascii="宋体" w:hAnsi="宋体"/>
          <w:sz w:val="24"/>
        </w:rPr>
        <w:t>4.7.2 特殊情况下，采购人可于响应文件有效期满之前要求供应商同意延长有效期，要求与答复均应为书面形式。供应商可以拒绝上述要求，其磋商保证金予以退还。对于同意该要求的供应商，既不要求也不允许其修改响应文件，但将要求其相应延长磋商保证金的有效期，有关退还和没收保证金的规定在磋商有效期的延长期内继续有效。</w:t>
      </w:r>
    </w:p>
    <w:p>
      <w:pPr>
        <w:pStyle w:val="4"/>
        <w:spacing w:before="0" w:after="0" w:line="360" w:lineRule="auto"/>
        <w:ind w:firstLine="1205"/>
        <w:contextualSpacing/>
        <w:rPr>
          <w:rFonts w:ascii="宋体" w:hAnsi="宋体"/>
          <w:sz w:val="24"/>
          <w:szCs w:val="24"/>
        </w:rPr>
      </w:pPr>
      <w:bookmarkStart w:id="104" w:name="_Toc20230425"/>
      <w:bookmarkStart w:id="105" w:name="_Toc500278641"/>
      <w:bookmarkStart w:id="106" w:name="_Toc452012050"/>
      <w:r>
        <w:rPr>
          <w:rFonts w:hint="eastAsia" w:ascii="宋体" w:hAnsi="宋体"/>
          <w:sz w:val="24"/>
          <w:szCs w:val="24"/>
        </w:rPr>
        <w:t>4.8、响应文件的签署及规定</w:t>
      </w:r>
      <w:bookmarkEnd w:id="104"/>
      <w:bookmarkEnd w:id="105"/>
      <w:bookmarkEnd w:id="106"/>
    </w:p>
    <w:p>
      <w:pPr>
        <w:spacing w:line="360" w:lineRule="auto"/>
        <w:ind w:firstLine="480" w:firstLineChars="200"/>
        <w:rPr>
          <w:rFonts w:ascii="宋体" w:hAnsi="宋体"/>
          <w:sz w:val="24"/>
        </w:rPr>
      </w:pPr>
      <w:r>
        <w:rPr>
          <w:rFonts w:hint="eastAsia" w:ascii="宋体" w:hAnsi="宋体"/>
          <w:sz w:val="24"/>
        </w:rPr>
        <w:t>4.8.1 响应文件正本须是打印文件。响应文件应由供应商法定代表人或经法定代表人正式授权的供应商代表在“磋商文件”要求的地方签字并加盖印章。</w:t>
      </w:r>
      <w:r>
        <w:rPr>
          <w:rFonts w:hint="eastAsia" w:ascii="宋体" w:hAnsi="宋体"/>
          <w:bCs/>
          <w:sz w:val="24"/>
        </w:rPr>
        <w:t>正本和副本存在不一致时，以正本为准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4.8.2 除供应商对错处作必要修改外，响应文件中不许有加行、涂抹或改写。若有修改须由签署响应文件的人在旁边签字才有效。</w:t>
      </w:r>
    </w:p>
    <w:p>
      <w:pPr>
        <w:spacing w:line="360" w:lineRule="auto"/>
        <w:ind w:firstLine="480" w:firstLineChars="200"/>
        <w:rPr>
          <w:rFonts w:ascii="宋体" w:hAnsi="宋体"/>
          <w:sz w:val="24"/>
        </w:rPr>
      </w:pPr>
      <w:r>
        <w:rPr>
          <w:rFonts w:hint="eastAsia" w:ascii="宋体" w:hAnsi="宋体"/>
          <w:sz w:val="24"/>
        </w:rPr>
        <w:t>4.8.3 采购人拒绝接受以电报、电话、传真、电子邮件形式的响应文件。</w:t>
      </w:r>
    </w:p>
    <w:p>
      <w:pPr>
        <w:pStyle w:val="4"/>
        <w:spacing w:before="0" w:after="0" w:line="360" w:lineRule="auto"/>
        <w:ind w:firstLine="1205"/>
        <w:contextualSpacing/>
        <w:rPr>
          <w:rFonts w:ascii="宋体" w:hAnsi="宋体"/>
          <w:sz w:val="24"/>
          <w:szCs w:val="24"/>
        </w:rPr>
      </w:pPr>
      <w:bookmarkStart w:id="107" w:name="_Toc452012051"/>
      <w:bookmarkStart w:id="108" w:name="_Toc500278642"/>
      <w:bookmarkStart w:id="109" w:name="_Toc20230426"/>
      <w:r>
        <w:rPr>
          <w:rFonts w:hint="eastAsia" w:ascii="宋体" w:hAnsi="宋体"/>
          <w:sz w:val="24"/>
          <w:szCs w:val="24"/>
        </w:rPr>
        <w:t>5、响应文件的递交</w:t>
      </w:r>
      <w:bookmarkEnd w:id="107"/>
      <w:bookmarkEnd w:id="108"/>
      <w:bookmarkEnd w:id="109"/>
    </w:p>
    <w:p>
      <w:pPr>
        <w:pStyle w:val="4"/>
        <w:spacing w:before="0" w:after="0" w:line="360" w:lineRule="auto"/>
        <w:ind w:firstLine="1205"/>
        <w:contextualSpacing/>
        <w:rPr>
          <w:rFonts w:ascii="宋体" w:hAnsi="宋体"/>
          <w:sz w:val="24"/>
          <w:szCs w:val="24"/>
        </w:rPr>
      </w:pPr>
      <w:bookmarkStart w:id="110" w:name="_Toc452012052"/>
      <w:bookmarkStart w:id="111" w:name="_Toc20230427"/>
      <w:bookmarkStart w:id="112" w:name="_Toc500278643"/>
      <w:r>
        <w:rPr>
          <w:rFonts w:hint="eastAsia" w:ascii="宋体" w:hAnsi="宋体"/>
          <w:sz w:val="24"/>
          <w:szCs w:val="24"/>
        </w:rPr>
        <w:t>5.1、响应文件的数量、包装和标记</w:t>
      </w:r>
      <w:bookmarkEnd w:id="110"/>
      <w:bookmarkEnd w:id="111"/>
      <w:bookmarkEnd w:id="112"/>
    </w:p>
    <w:p>
      <w:pPr>
        <w:spacing w:line="360" w:lineRule="auto"/>
        <w:ind w:firstLine="482" w:firstLineChars="200"/>
        <w:rPr>
          <w:rFonts w:ascii="宋体" w:hAnsi="宋体"/>
          <w:b/>
          <w:sz w:val="24"/>
        </w:rPr>
      </w:pPr>
      <w:r>
        <w:rPr>
          <w:rFonts w:hint="eastAsia" w:ascii="宋体" w:hAnsi="宋体"/>
          <w:b/>
          <w:sz w:val="24"/>
        </w:rPr>
        <w:t>5.1.1 供应商应提交正本“响应文件”、副本“响应文件”和电子版“响应文件”。正、副本响应文件需胶装，每套“响应文件”封面的右上角应标明“正本”或“副本”。</w:t>
      </w:r>
      <w:r>
        <w:rPr>
          <w:rFonts w:hint="eastAsia" w:ascii="宋体" w:hAnsi="宋体"/>
          <w:b/>
          <w:bCs/>
          <w:sz w:val="24"/>
        </w:rPr>
        <w:t>正本和副本存在不一致时，以正本为准。</w:t>
      </w:r>
    </w:p>
    <w:p>
      <w:pPr>
        <w:spacing w:line="360" w:lineRule="auto"/>
        <w:ind w:firstLine="482" w:firstLineChars="200"/>
        <w:rPr>
          <w:rFonts w:ascii="宋体" w:hAnsi="宋体"/>
          <w:b/>
          <w:sz w:val="24"/>
        </w:rPr>
      </w:pPr>
      <w:r>
        <w:rPr>
          <w:rFonts w:hint="eastAsia" w:ascii="宋体" w:hAnsi="宋体"/>
          <w:b/>
          <w:sz w:val="24"/>
        </w:rPr>
        <w:t>5.1.2 供应商应将响应文件正本和副本用信封或文件盒（箱）密封包装于一件包装内，封口处应有供应商公章,封皮正面标明项目编号、项目名称、供应商名称；电子版文件需单独密封包装，与正、副本文件一同递交。</w:t>
      </w:r>
    </w:p>
    <w:p>
      <w:pPr>
        <w:spacing w:line="360" w:lineRule="auto"/>
        <w:ind w:firstLine="482" w:firstLineChars="200"/>
        <w:rPr>
          <w:rFonts w:ascii="宋体" w:hAnsi="宋体"/>
          <w:b/>
          <w:sz w:val="24"/>
        </w:rPr>
      </w:pPr>
      <w:r>
        <w:rPr>
          <w:rFonts w:hint="eastAsia" w:ascii="宋体" w:hAnsi="宋体"/>
          <w:b/>
          <w:sz w:val="24"/>
        </w:rPr>
        <w:t>5.1.3 供应商需单独制作一份 “磋商申请函附录” 单独封装在一个信封，封口处应有供应商公章,封皮正面标明项目编号、项目名称、供应商名称并同时递交采购人</w:t>
      </w:r>
    </w:p>
    <w:p>
      <w:pPr>
        <w:spacing w:line="360" w:lineRule="auto"/>
        <w:ind w:firstLine="482" w:firstLineChars="200"/>
        <w:rPr>
          <w:rFonts w:ascii="宋体" w:hAnsi="宋体"/>
          <w:b/>
          <w:sz w:val="24"/>
        </w:rPr>
      </w:pPr>
      <w:r>
        <w:rPr>
          <w:rFonts w:hint="eastAsia" w:ascii="宋体" w:hAnsi="宋体"/>
          <w:b/>
          <w:sz w:val="24"/>
        </w:rPr>
        <w:t>5.1.4 每一密封信封上注明“于    年   月   日    时（响应截止时间）之前不准启封”的字样。</w:t>
      </w:r>
    </w:p>
    <w:p>
      <w:pPr>
        <w:spacing w:line="360" w:lineRule="auto"/>
        <w:ind w:firstLine="480" w:firstLineChars="200"/>
        <w:rPr>
          <w:rFonts w:ascii="宋体" w:hAnsi="宋体"/>
          <w:sz w:val="24"/>
        </w:rPr>
      </w:pPr>
      <w:r>
        <w:rPr>
          <w:rFonts w:hint="eastAsia" w:ascii="宋体" w:hAnsi="宋体"/>
          <w:sz w:val="24"/>
        </w:rPr>
        <w:t>5.1.5响应文件应由专人送交，供应商应将响应文件按上述规定进行密封和标记后，按磋商邀请注明的地址送达。</w:t>
      </w:r>
    </w:p>
    <w:p>
      <w:pPr>
        <w:spacing w:line="360" w:lineRule="auto"/>
        <w:ind w:left="19" w:leftChars="-67" w:hanging="160" w:hangingChars="67"/>
        <w:contextualSpacing/>
        <w:rPr>
          <w:rFonts w:ascii="宋体" w:hAnsi="宋体"/>
          <w:sz w:val="24"/>
        </w:rPr>
      </w:pPr>
      <w:r>
        <w:rPr>
          <w:rFonts w:hint="eastAsia" w:ascii="宋体" w:hAnsi="宋体"/>
          <w:sz w:val="24"/>
        </w:rPr>
        <w:t xml:space="preserve">     5.1.6 如果未按上述规定进行密封和标记，采购人对响应文件的误投或提前拆封不负责任。</w:t>
      </w:r>
    </w:p>
    <w:p>
      <w:pPr>
        <w:pStyle w:val="4"/>
        <w:spacing w:before="0" w:after="0" w:line="360" w:lineRule="auto"/>
        <w:ind w:firstLine="1205"/>
        <w:contextualSpacing/>
        <w:rPr>
          <w:rFonts w:ascii="宋体" w:hAnsi="宋体"/>
          <w:sz w:val="24"/>
          <w:szCs w:val="24"/>
        </w:rPr>
      </w:pPr>
      <w:bookmarkStart w:id="113" w:name="_Toc500278644"/>
      <w:bookmarkStart w:id="114" w:name="_Toc20230428"/>
      <w:bookmarkStart w:id="115" w:name="_Toc452012053"/>
      <w:r>
        <w:rPr>
          <w:rFonts w:hint="eastAsia" w:ascii="宋体" w:hAnsi="宋体"/>
          <w:sz w:val="24"/>
          <w:szCs w:val="24"/>
        </w:rPr>
        <w:t>5.2、响应文件递交截止时间</w:t>
      </w:r>
      <w:bookmarkEnd w:id="113"/>
      <w:bookmarkEnd w:id="114"/>
      <w:bookmarkEnd w:id="115"/>
    </w:p>
    <w:p>
      <w:pPr>
        <w:spacing w:line="360" w:lineRule="auto"/>
        <w:ind w:firstLine="480" w:firstLineChars="200"/>
        <w:rPr>
          <w:rFonts w:ascii="宋体" w:hAnsi="宋体"/>
          <w:sz w:val="24"/>
        </w:rPr>
      </w:pPr>
      <w:r>
        <w:rPr>
          <w:rFonts w:hint="eastAsia" w:ascii="宋体" w:hAnsi="宋体"/>
          <w:sz w:val="24"/>
        </w:rPr>
        <w:t>5.2.1 所有响应文件必须派人送交，并按“磋商邀请”中规定的响应截止时间之前送达。</w:t>
      </w:r>
    </w:p>
    <w:p>
      <w:pPr>
        <w:spacing w:line="360" w:lineRule="auto"/>
        <w:ind w:firstLine="480" w:firstLineChars="200"/>
        <w:rPr>
          <w:rFonts w:ascii="宋体" w:hAnsi="宋体"/>
          <w:sz w:val="24"/>
        </w:rPr>
      </w:pPr>
      <w:r>
        <w:rPr>
          <w:rFonts w:hint="eastAsia" w:ascii="宋体" w:hAnsi="宋体"/>
          <w:sz w:val="24"/>
        </w:rPr>
        <w:t>5.2.2 出现因磋商文件的修改推迟响应截止日期时，则按采购人修改通知规定的时间递交。</w:t>
      </w:r>
    </w:p>
    <w:p>
      <w:pPr>
        <w:pStyle w:val="4"/>
        <w:spacing w:before="0" w:after="0" w:line="360" w:lineRule="auto"/>
        <w:ind w:firstLine="1205"/>
        <w:contextualSpacing/>
        <w:rPr>
          <w:rFonts w:ascii="宋体" w:hAnsi="宋体"/>
          <w:sz w:val="24"/>
          <w:szCs w:val="24"/>
        </w:rPr>
      </w:pPr>
      <w:bookmarkStart w:id="116" w:name="_Toc452012054"/>
      <w:bookmarkStart w:id="117" w:name="_Toc500278645"/>
      <w:bookmarkStart w:id="118" w:name="_Toc20230429"/>
      <w:r>
        <w:rPr>
          <w:rFonts w:hint="eastAsia" w:ascii="宋体" w:hAnsi="宋体"/>
          <w:sz w:val="24"/>
          <w:szCs w:val="24"/>
        </w:rPr>
        <w:t>5.3、迟交的响应文件</w:t>
      </w:r>
      <w:bookmarkEnd w:id="116"/>
      <w:bookmarkEnd w:id="117"/>
      <w:bookmarkEnd w:id="118"/>
    </w:p>
    <w:p>
      <w:pPr>
        <w:spacing w:line="360" w:lineRule="auto"/>
        <w:ind w:firstLine="480" w:firstLineChars="200"/>
        <w:rPr>
          <w:rFonts w:ascii="宋体" w:hAnsi="宋体"/>
          <w:sz w:val="24"/>
        </w:rPr>
      </w:pPr>
      <w:r>
        <w:rPr>
          <w:rFonts w:hint="eastAsia" w:ascii="宋体" w:hAnsi="宋体"/>
          <w:sz w:val="24"/>
        </w:rPr>
        <w:t>5.3.1 采购人将拒绝接受并原封退回在响应文件递交截止时间后递交的任何响应文件。</w:t>
      </w:r>
    </w:p>
    <w:p>
      <w:pPr>
        <w:pStyle w:val="4"/>
        <w:spacing w:before="0" w:after="0" w:line="360" w:lineRule="auto"/>
        <w:ind w:firstLine="1205"/>
        <w:contextualSpacing/>
        <w:rPr>
          <w:rFonts w:ascii="宋体" w:hAnsi="宋体"/>
          <w:sz w:val="24"/>
          <w:szCs w:val="24"/>
        </w:rPr>
      </w:pPr>
      <w:bookmarkStart w:id="119" w:name="_Toc452012055"/>
      <w:bookmarkStart w:id="120" w:name="_Toc500278646"/>
      <w:bookmarkStart w:id="121" w:name="_Toc20230430"/>
      <w:r>
        <w:rPr>
          <w:rFonts w:hint="eastAsia" w:ascii="宋体" w:hAnsi="宋体"/>
          <w:sz w:val="24"/>
          <w:szCs w:val="24"/>
        </w:rPr>
        <w:t>5.4、响应文件的撤回</w:t>
      </w:r>
      <w:bookmarkEnd w:id="119"/>
      <w:bookmarkEnd w:id="120"/>
      <w:bookmarkEnd w:id="121"/>
    </w:p>
    <w:p>
      <w:pPr>
        <w:spacing w:line="360" w:lineRule="auto"/>
        <w:ind w:firstLine="480" w:firstLineChars="200"/>
        <w:rPr>
          <w:rFonts w:hint="eastAsia" w:ascii="宋体" w:hAnsi="宋体"/>
          <w:sz w:val="24"/>
        </w:rPr>
      </w:pPr>
      <w:r>
        <w:rPr>
          <w:rFonts w:hint="eastAsia" w:ascii="宋体" w:hAnsi="宋体"/>
          <w:sz w:val="24"/>
        </w:rPr>
        <w:t>5.4.1 供应商在提交响应文件后可以修改或撤回其申请，但供应商必须在规定的响应截止期之前将修改或撤回的书面通知递交到采购方。且该通知需经正式授权的供应商代表签字方为有效。</w:t>
      </w:r>
    </w:p>
    <w:p>
      <w:pPr>
        <w:spacing w:line="360" w:lineRule="auto"/>
        <w:ind w:firstLine="480" w:firstLineChars="200"/>
        <w:rPr>
          <w:rFonts w:ascii="宋体" w:hAnsi="宋体"/>
          <w:sz w:val="24"/>
        </w:rPr>
      </w:pPr>
      <w:r>
        <w:rPr>
          <w:rFonts w:hint="eastAsia" w:ascii="宋体" w:hAnsi="宋体"/>
          <w:sz w:val="24"/>
        </w:rPr>
        <w:t>5.4.2 供应商不得在响应文件递交截止时间后至响应文件有效期期满前撤回其响应文件。</w:t>
      </w:r>
    </w:p>
    <w:p>
      <w:pPr>
        <w:spacing w:line="360" w:lineRule="auto"/>
        <w:ind w:firstLine="480" w:firstLineChars="200"/>
        <w:rPr>
          <w:rFonts w:ascii="宋体" w:hAnsi="宋体"/>
          <w:sz w:val="24"/>
        </w:rPr>
      </w:pPr>
      <w:r>
        <w:rPr>
          <w:rFonts w:hint="eastAsia" w:ascii="宋体" w:hAnsi="宋体"/>
          <w:sz w:val="24"/>
        </w:rPr>
        <w:t>5.4.3 供应商的修改或撤回通知应按本须知5.1规定编制、密封、标记和递交。</w:t>
      </w:r>
    </w:p>
    <w:p>
      <w:pPr>
        <w:pStyle w:val="4"/>
        <w:spacing w:before="0" w:after="0" w:line="360" w:lineRule="auto"/>
        <w:ind w:firstLine="1205"/>
        <w:contextualSpacing/>
        <w:rPr>
          <w:rFonts w:ascii="宋体" w:hAnsi="宋体"/>
          <w:sz w:val="24"/>
          <w:szCs w:val="24"/>
        </w:rPr>
      </w:pPr>
      <w:bookmarkStart w:id="122" w:name="_Toc500278647"/>
      <w:bookmarkStart w:id="123" w:name="_Toc20230431"/>
      <w:bookmarkStart w:id="124" w:name="_Toc452012056"/>
      <w:r>
        <w:rPr>
          <w:rFonts w:hint="eastAsia" w:ascii="宋体" w:hAnsi="宋体"/>
          <w:sz w:val="24"/>
          <w:szCs w:val="24"/>
        </w:rPr>
        <w:t>6、</w:t>
      </w:r>
      <w:bookmarkEnd w:id="122"/>
      <w:bookmarkEnd w:id="123"/>
      <w:bookmarkEnd w:id="124"/>
      <w:bookmarkStart w:id="125" w:name="_Toc520356164"/>
      <w:bookmarkStart w:id="126" w:name="_Toc111211768"/>
      <w:r>
        <w:rPr>
          <w:rFonts w:hint="eastAsia" w:ascii="宋体" w:hAnsi="宋体"/>
          <w:sz w:val="24"/>
          <w:szCs w:val="24"/>
        </w:rPr>
        <w:t>磋商</w:t>
      </w:r>
    </w:p>
    <w:bookmarkEnd w:id="125"/>
    <w:bookmarkEnd w:id="126"/>
    <w:p>
      <w:pPr>
        <w:pStyle w:val="4"/>
        <w:spacing w:before="0" w:after="0" w:line="360" w:lineRule="auto"/>
        <w:ind w:firstLine="1205"/>
        <w:contextualSpacing/>
        <w:rPr>
          <w:rFonts w:ascii="宋体" w:hAnsi="宋体"/>
          <w:sz w:val="24"/>
          <w:szCs w:val="24"/>
        </w:rPr>
      </w:pPr>
      <w:bookmarkStart w:id="127" w:name="_Toc20230432"/>
      <w:bookmarkStart w:id="128" w:name="_Toc500278648"/>
      <w:bookmarkStart w:id="129" w:name="_Toc452012057"/>
      <w:r>
        <w:rPr>
          <w:rFonts w:hint="eastAsia" w:ascii="宋体" w:hAnsi="宋体"/>
          <w:sz w:val="24"/>
          <w:szCs w:val="24"/>
        </w:rPr>
        <w:t>6.1、供应商的响应文件的递交</w:t>
      </w:r>
      <w:bookmarkEnd w:id="127"/>
      <w:bookmarkEnd w:id="128"/>
      <w:bookmarkEnd w:id="129"/>
    </w:p>
    <w:p>
      <w:pPr>
        <w:spacing w:line="360" w:lineRule="auto"/>
        <w:ind w:firstLine="480" w:firstLineChars="200"/>
        <w:rPr>
          <w:rFonts w:ascii="宋体" w:hAnsi="宋体"/>
          <w:sz w:val="24"/>
        </w:rPr>
      </w:pPr>
      <w:r>
        <w:rPr>
          <w:rFonts w:hint="eastAsia" w:ascii="宋体" w:hAnsi="宋体"/>
          <w:sz w:val="24"/>
        </w:rPr>
        <w:t>6.1.1 采购人收到响应文件后，应当如实记载响应文件的送达时间和密封情况，签收保存，并向供应商出具签收回执。任何单位和个人不得在响应文件开启前开封。</w:t>
      </w:r>
    </w:p>
    <w:p>
      <w:pPr>
        <w:spacing w:line="360" w:lineRule="auto"/>
        <w:ind w:firstLine="480" w:firstLineChars="200"/>
        <w:rPr>
          <w:rFonts w:ascii="宋体" w:hAnsi="宋体"/>
          <w:sz w:val="24"/>
        </w:rPr>
      </w:pPr>
      <w:r>
        <w:rPr>
          <w:rFonts w:hint="eastAsia" w:ascii="宋体" w:hAnsi="宋体"/>
          <w:sz w:val="24"/>
        </w:rPr>
        <w:t>6.1.2按竞争性磋商公告或磋商邀请书的规定，在响应截止时间的同一时间，在竞争性磋商公告或磋商邀请书预先确定的地点组织磋商。</w:t>
      </w:r>
    </w:p>
    <w:p>
      <w:pPr>
        <w:pStyle w:val="4"/>
        <w:spacing w:before="0" w:after="0" w:line="360" w:lineRule="auto"/>
        <w:ind w:firstLine="1205"/>
        <w:contextualSpacing/>
        <w:rPr>
          <w:rFonts w:ascii="宋体" w:hAnsi="宋体"/>
          <w:sz w:val="24"/>
          <w:szCs w:val="24"/>
        </w:rPr>
      </w:pPr>
      <w:bookmarkStart w:id="130" w:name="_Toc452012058"/>
      <w:bookmarkStart w:id="131" w:name="_Toc20230433"/>
      <w:bookmarkStart w:id="132" w:name="_Toc500278649"/>
      <w:r>
        <w:rPr>
          <w:rFonts w:hint="eastAsia" w:ascii="宋体" w:hAnsi="宋体"/>
          <w:sz w:val="24"/>
          <w:szCs w:val="24"/>
        </w:rPr>
        <w:t>6.2、组建磋商小组</w:t>
      </w:r>
      <w:bookmarkEnd w:id="130"/>
      <w:bookmarkEnd w:id="131"/>
      <w:bookmarkEnd w:id="132"/>
    </w:p>
    <w:p>
      <w:pPr>
        <w:spacing w:line="360" w:lineRule="auto"/>
        <w:ind w:firstLine="480" w:firstLineChars="200"/>
        <w:rPr>
          <w:rFonts w:hint="eastAsia" w:ascii="宋体" w:hAnsi="宋体"/>
          <w:sz w:val="24"/>
        </w:rPr>
      </w:pPr>
      <w:r>
        <w:rPr>
          <w:rFonts w:hint="eastAsia" w:ascii="宋体" w:hAnsi="宋体"/>
          <w:sz w:val="24"/>
        </w:rPr>
        <w:t>6.2.1 采购人将根据本次竞争性磋商项目服务的特点，按照国家有关法律、法规组建磋商小组。</w:t>
      </w:r>
    </w:p>
    <w:p>
      <w:pPr>
        <w:spacing w:line="360" w:lineRule="auto"/>
        <w:ind w:firstLine="480" w:firstLineChars="200"/>
        <w:rPr>
          <w:rFonts w:hint="eastAsia" w:ascii="宋体" w:hAnsi="宋体"/>
          <w:sz w:val="24"/>
        </w:rPr>
      </w:pPr>
      <w:r>
        <w:rPr>
          <w:rFonts w:hint="eastAsia" w:ascii="宋体" w:hAnsi="宋体"/>
          <w:sz w:val="24"/>
        </w:rPr>
        <w:t>6.2.2 磋商小组由采购人的代表和有关技术、经济等方面的专家组成。</w:t>
      </w:r>
    </w:p>
    <w:p>
      <w:pPr>
        <w:pStyle w:val="4"/>
        <w:spacing w:before="0" w:after="0" w:line="360" w:lineRule="auto"/>
        <w:ind w:firstLine="1205"/>
        <w:contextualSpacing/>
        <w:rPr>
          <w:rFonts w:ascii="宋体" w:hAnsi="宋体"/>
          <w:sz w:val="24"/>
          <w:szCs w:val="24"/>
        </w:rPr>
      </w:pPr>
      <w:bookmarkStart w:id="133" w:name="_Toc452012059"/>
      <w:bookmarkStart w:id="134" w:name="_Toc500278650"/>
      <w:bookmarkStart w:id="135" w:name="_Toc20230434"/>
      <w:r>
        <w:rPr>
          <w:rFonts w:hint="eastAsia" w:ascii="宋体" w:hAnsi="宋体"/>
          <w:sz w:val="24"/>
          <w:szCs w:val="24"/>
        </w:rPr>
        <w:t>6.3、对响应文件的审查和响应性的确定</w:t>
      </w:r>
      <w:bookmarkEnd w:id="133"/>
      <w:bookmarkEnd w:id="134"/>
      <w:bookmarkEnd w:id="135"/>
    </w:p>
    <w:p>
      <w:pPr>
        <w:spacing w:line="360" w:lineRule="auto"/>
        <w:ind w:firstLine="480" w:firstLineChars="200"/>
        <w:rPr>
          <w:rFonts w:ascii="宋体" w:hAnsi="宋体"/>
          <w:sz w:val="24"/>
        </w:rPr>
      </w:pPr>
      <w:r>
        <w:rPr>
          <w:rFonts w:hint="eastAsia" w:ascii="宋体" w:hAnsi="宋体"/>
          <w:sz w:val="24"/>
        </w:rPr>
        <w:t>6.3.1 磋商前，磋商小组将审核响应文件是否完整、是否合格地签署、是否按磋商文件要求提供相应的资格证明文件，“响应文件”属下列情况之一的，采购人有权拒绝：</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（1）响应文件逾期送达的或者未送达指定地点的；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（2）不具备竞争性磋商文件中规定的资格要求的；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（3）投标报价低于成本恶性竞争的；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（4）报价超过竞争性磋商文件中规定的预算金额或者最高限价的；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（5）供应商以他人名义投标、串通投标、以行贿手段谋取成交或者以其他弄虚作假方式投标的；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（6）响应文件含有采购人不能接受的附加条件的；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（7）存在恶意串通，妨碍其他供应商的竞争行为，损害采购人或者其他供应商的合法权益的；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（8）对磋商文件提出的实质性要求和条件未作出响应的；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（9）供应商拒绝承担部分采购服务，响应文件与磋商文件中的条款有重大偏离或保留的；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（10）磋商有效期不足的；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（11）提供虚假文件的；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（12）</w:t>
      </w:r>
      <w:r>
        <w:rPr>
          <w:rFonts w:hint="eastAsia" w:ascii="宋体" w:hAnsi="宋体" w:cs="Arial"/>
          <w:color w:val="000000"/>
          <w:sz w:val="24"/>
        </w:rPr>
        <w:t>失信被执行人信息采集记录</w:t>
      </w:r>
      <w:r>
        <w:rPr>
          <w:rFonts w:hint="eastAsia" w:ascii="宋体" w:hAnsi="宋体"/>
          <w:color w:val="000000"/>
          <w:sz w:val="24"/>
        </w:rPr>
        <w:t>中记录供应商为失信被执行人的；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sz w:val="24"/>
        </w:rPr>
      </w:pPr>
      <w:r>
        <w:rPr>
          <w:rFonts w:hint="eastAsia" w:ascii="宋体" w:hAnsi="宋体"/>
          <w:sz w:val="24"/>
        </w:rPr>
        <w:t>（13）法律、法规和竞争性磋商文件规定的其他无效情形；</w:t>
      </w:r>
    </w:p>
    <w:p>
      <w:pPr>
        <w:spacing w:line="360" w:lineRule="auto"/>
        <w:ind w:firstLine="480" w:firstLineChars="200"/>
        <w:rPr>
          <w:rFonts w:ascii="宋体" w:hAnsi="宋体"/>
          <w:sz w:val="24"/>
        </w:rPr>
      </w:pPr>
      <w:r>
        <w:rPr>
          <w:rFonts w:hint="eastAsia" w:ascii="宋体" w:hAnsi="宋体"/>
          <w:sz w:val="24"/>
        </w:rPr>
        <w:t>6.3.2 响应文件报价出现前后不一致的，除磋商文件另有规定外，按照下列规定修正：</w:t>
      </w:r>
    </w:p>
    <w:p>
      <w:pPr>
        <w:spacing w:line="360" w:lineRule="auto"/>
        <w:ind w:firstLine="240" w:firstLineChars="100"/>
        <w:rPr>
          <w:rFonts w:ascii="宋体" w:hAnsi="宋体"/>
          <w:sz w:val="24"/>
        </w:rPr>
      </w:pPr>
      <w:r>
        <w:rPr>
          <w:rFonts w:hint="eastAsia" w:ascii="宋体" w:hAnsi="宋体"/>
          <w:sz w:val="24"/>
        </w:rPr>
        <w:t>（1）响应文件中磋商申请函附录内容与响应文件中相应内容不一致的，以磋商申请函附录为准；</w:t>
      </w:r>
    </w:p>
    <w:p>
      <w:pPr>
        <w:spacing w:line="360" w:lineRule="auto"/>
        <w:ind w:firstLine="240" w:firstLineChars="100"/>
        <w:rPr>
          <w:rFonts w:ascii="宋体" w:hAnsi="宋体"/>
          <w:sz w:val="24"/>
        </w:rPr>
      </w:pPr>
      <w:r>
        <w:rPr>
          <w:rFonts w:hint="eastAsia" w:ascii="宋体" w:hAnsi="宋体"/>
          <w:sz w:val="24"/>
        </w:rPr>
        <w:t>（2）大写金额和小写金额不一致的，以大写金额为准；</w:t>
      </w:r>
    </w:p>
    <w:p>
      <w:pPr>
        <w:spacing w:line="360" w:lineRule="auto"/>
        <w:ind w:firstLine="240" w:firstLineChars="100"/>
        <w:rPr>
          <w:rFonts w:ascii="宋体" w:hAnsi="宋体"/>
          <w:sz w:val="24"/>
        </w:rPr>
      </w:pPr>
      <w:r>
        <w:rPr>
          <w:rFonts w:hint="eastAsia" w:ascii="宋体" w:hAnsi="宋体"/>
          <w:sz w:val="24"/>
        </w:rPr>
        <w:t>（3）单价金额小数点或者百分比有明显错位的，以磋商申请函附录的总价为准，并修改单价；</w:t>
      </w:r>
    </w:p>
    <w:p>
      <w:pPr>
        <w:spacing w:line="360" w:lineRule="auto"/>
        <w:ind w:firstLine="240" w:firstLineChars="100"/>
        <w:rPr>
          <w:rFonts w:ascii="宋体" w:hAnsi="宋体"/>
          <w:sz w:val="24"/>
        </w:rPr>
      </w:pPr>
      <w:r>
        <w:rPr>
          <w:rFonts w:hint="eastAsia" w:ascii="宋体" w:hAnsi="宋体"/>
          <w:sz w:val="24"/>
        </w:rPr>
        <w:t>（4）总价金额与按单价汇总金额不一致的，以单价金额计算结果为准。</w:t>
      </w:r>
    </w:p>
    <w:p>
      <w:pPr>
        <w:spacing w:line="360" w:lineRule="auto"/>
        <w:ind w:firstLine="480" w:firstLineChars="200"/>
        <w:rPr>
          <w:rFonts w:ascii="宋体" w:hAnsi="宋体"/>
          <w:sz w:val="24"/>
        </w:rPr>
      </w:pPr>
      <w:r>
        <w:rPr>
          <w:rFonts w:hint="eastAsia" w:ascii="宋体" w:hAnsi="宋体"/>
          <w:sz w:val="24"/>
        </w:rPr>
        <w:t>6.3.3 磋商小组将确定每一供应商是否对《磋商文件》的要求作出了实质性的响应，而没有重大偏离。实质性响应的响应文件是指响应文件符合磋商文件的所有条款、条件和规定且没有重大偏离或保留。重大偏离或保留系指影响到磋商文件规定的采购范围，或限制了采购人的权力和供应商的义务的规定，而纠正这些偏离将影响到其他提交实质性响应响应文件的供应商的公平竞争地位。</w:t>
      </w:r>
    </w:p>
    <w:p>
      <w:pPr>
        <w:spacing w:line="360" w:lineRule="auto"/>
        <w:ind w:firstLine="480" w:firstLineChars="200"/>
        <w:rPr>
          <w:rFonts w:ascii="宋体" w:hAnsi="宋体"/>
          <w:sz w:val="24"/>
        </w:rPr>
      </w:pPr>
      <w:r>
        <w:rPr>
          <w:rFonts w:hint="eastAsia" w:ascii="宋体" w:hAnsi="宋体"/>
          <w:sz w:val="24"/>
        </w:rPr>
        <w:t>6.3.4 磋商小组判断响应文件的响应性仅基于响应文件本身而不靠外部证据。</w:t>
      </w:r>
    </w:p>
    <w:p>
      <w:pPr>
        <w:spacing w:line="360" w:lineRule="auto"/>
        <w:ind w:firstLine="480" w:firstLineChars="200"/>
        <w:rPr>
          <w:rFonts w:ascii="宋体" w:hAnsi="宋体"/>
          <w:sz w:val="24"/>
        </w:rPr>
      </w:pPr>
      <w:r>
        <w:rPr>
          <w:rFonts w:hint="eastAsia" w:ascii="宋体" w:hAnsi="宋体"/>
          <w:sz w:val="24"/>
        </w:rPr>
        <w:t>6.3.5磋商之后，直到授予成交候选供应商合同止，凡与本次磋商有关人员对属于审查、澄清、评价和比较的有关资料以及确定成交候选供应商意向等，均不得向供应商或其他无关的人员透露。</w:t>
      </w:r>
    </w:p>
    <w:p>
      <w:pPr>
        <w:spacing w:line="360" w:lineRule="auto"/>
        <w:ind w:firstLine="480" w:firstLineChars="200"/>
        <w:rPr>
          <w:rFonts w:ascii="宋体" w:hAnsi="宋体"/>
          <w:sz w:val="24"/>
        </w:rPr>
      </w:pPr>
      <w:r>
        <w:rPr>
          <w:rFonts w:hint="eastAsia" w:ascii="宋体" w:hAnsi="宋体"/>
          <w:sz w:val="24"/>
        </w:rPr>
        <w:t>6.3.6 在磋商期间，供应商试图影响采购人和磋商小组的任何活动，将导致其投标被拒绝，并承担相应的法律责任。</w:t>
      </w:r>
    </w:p>
    <w:p>
      <w:pPr>
        <w:spacing w:line="360" w:lineRule="auto"/>
        <w:ind w:firstLine="480" w:firstLineChars="200"/>
        <w:rPr>
          <w:rFonts w:ascii="宋体" w:hAnsi="宋体"/>
          <w:sz w:val="24"/>
        </w:rPr>
      </w:pPr>
      <w:r>
        <w:rPr>
          <w:rFonts w:hint="eastAsia" w:ascii="宋体" w:hAnsi="宋体"/>
          <w:sz w:val="24"/>
        </w:rPr>
        <w:t>6.3.7磋商</w:t>
      </w:r>
    </w:p>
    <w:p>
      <w:pPr>
        <w:spacing w:line="360" w:lineRule="auto"/>
        <w:ind w:firstLine="480" w:firstLineChars="200"/>
        <w:rPr>
          <w:rFonts w:ascii="宋体" w:hAnsi="宋体"/>
          <w:sz w:val="24"/>
        </w:rPr>
      </w:pPr>
      <w:r>
        <w:rPr>
          <w:rFonts w:hint="eastAsia" w:ascii="宋体" w:hAnsi="宋体"/>
          <w:sz w:val="24"/>
        </w:rPr>
        <w:t>磋商小组所有成员集中与单一供应商进行磋商。磋商内容包括且不仅限于报价、技术方案，服务承诺和质量控制等，并应磋商小组要求进行技术答疑。在磋商中，磋商的任何一方不得透漏与磋商有关的其他供应商的技术资料、价格和其他信息。磋商文件有实质变动的，磋商小组应当以书面形式通知供应商。</w:t>
      </w:r>
    </w:p>
    <w:p>
      <w:pPr>
        <w:spacing w:line="360" w:lineRule="auto"/>
        <w:ind w:firstLine="480" w:firstLineChars="200"/>
        <w:rPr>
          <w:rFonts w:ascii="宋体" w:hAnsi="宋体"/>
          <w:sz w:val="24"/>
        </w:rPr>
      </w:pPr>
      <w:r>
        <w:rPr>
          <w:rFonts w:hint="eastAsia" w:ascii="宋体" w:hAnsi="宋体"/>
          <w:sz w:val="24"/>
        </w:rPr>
        <w:t>磋商将就采购的服务要求以及合同草案条款等进行磋商。供应商应如实提供磋商小组要求提供的资料，并以书面形式作以承诺和澄清，磋商后单独提供针对该项目的最终报价。</w:t>
      </w:r>
    </w:p>
    <w:p>
      <w:pPr>
        <w:spacing w:line="360" w:lineRule="auto"/>
        <w:ind w:firstLine="480" w:firstLineChars="200"/>
        <w:rPr>
          <w:rFonts w:ascii="宋体" w:hAnsi="宋体"/>
          <w:sz w:val="24"/>
        </w:rPr>
      </w:pPr>
      <w:r>
        <w:rPr>
          <w:rFonts w:hint="eastAsia" w:ascii="宋体" w:hAnsi="宋体"/>
          <w:sz w:val="24"/>
        </w:rPr>
        <w:t>最终报价相关文件为供应商响应文件的有效组成部分。</w:t>
      </w:r>
    </w:p>
    <w:p>
      <w:pPr>
        <w:spacing w:line="360" w:lineRule="auto"/>
        <w:ind w:firstLine="480" w:firstLineChars="200"/>
        <w:rPr>
          <w:rFonts w:ascii="宋体" w:hAnsi="宋体"/>
          <w:sz w:val="24"/>
        </w:rPr>
      </w:pPr>
      <w:r>
        <w:rPr>
          <w:rFonts w:hint="eastAsia" w:ascii="宋体" w:hAnsi="宋体"/>
          <w:sz w:val="24"/>
        </w:rPr>
        <w:t>若最终报价与供应商首次提交的磋商申请函与磋商申请函附录的内容有差异，以最后报价内容为准。</w:t>
      </w:r>
    </w:p>
    <w:p>
      <w:pPr>
        <w:pStyle w:val="4"/>
        <w:spacing w:before="0" w:after="0" w:line="360" w:lineRule="auto"/>
        <w:contextualSpacing/>
        <w:rPr>
          <w:rFonts w:ascii="宋体" w:hAnsi="宋体"/>
          <w:sz w:val="24"/>
          <w:szCs w:val="24"/>
        </w:rPr>
      </w:pPr>
      <w:bookmarkStart w:id="136" w:name="_Toc452012061"/>
      <w:bookmarkStart w:id="137" w:name="_Toc20230436"/>
      <w:bookmarkStart w:id="138" w:name="_Toc318837916"/>
      <w:bookmarkStart w:id="139" w:name="_Toc500278652"/>
      <w:bookmarkStart w:id="140" w:name="_Toc412963685"/>
      <w:r>
        <w:rPr>
          <w:rFonts w:hint="eastAsia" w:ascii="宋体" w:hAnsi="宋体"/>
          <w:sz w:val="24"/>
          <w:szCs w:val="24"/>
        </w:rPr>
        <w:t>7、废标</w:t>
      </w:r>
      <w:bookmarkEnd w:id="136"/>
      <w:bookmarkEnd w:id="137"/>
      <w:bookmarkEnd w:id="138"/>
      <w:bookmarkEnd w:id="139"/>
      <w:bookmarkEnd w:id="140"/>
    </w:p>
    <w:p>
      <w:pPr>
        <w:spacing w:line="360" w:lineRule="auto"/>
        <w:ind w:firstLine="480" w:firstLineChars="200"/>
        <w:rPr>
          <w:rFonts w:ascii="宋体" w:hAnsi="宋体"/>
          <w:color w:val="000000"/>
          <w:sz w:val="24"/>
        </w:rPr>
      </w:pPr>
      <w:r>
        <w:rPr>
          <w:rFonts w:hint="eastAsia" w:ascii="宋体" w:hAnsi="宋体"/>
          <w:color w:val="000000"/>
          <w:sz w:val="24"/>
        </w:rPr>
        <w:t>7.1出现下列情况之一的，采购人或者采购代理机构应当终止竞争性磋商采购活动，发布项目终止公告并说明原因，重新开展采购活动：</w:t>
      </w:r>
    </w:p>
    <w:p>
      <w:pPr>
        <w:spacing w:line="360" w:lineRule="auto"/>
        <w:ind w:left="105" w:leftChars="50" w:firstLine="360" w:firstLineChars="150"/>
        <w:contextualSpacing/>
        <w:rPr>
          <w:rFonts w:ascii="宋体" w:hAnsi="宋体"/>
          <w:color w:val="000000"/>
          <w:sz w:val="24"/>
        </w:rPr>
      </w:pPr>
      <w:r>
        <w:rPr>
          <w:rFonts w:hint="eastAsia" w:ascii="宋体" w:hAnsi="宋体"/>
          <w:color w:val="000000"/>
          <w:sz w:val="24"/>
        </w:rPr>
        <w:t>（1）在采购过程中符合要求的供应商或报价未超过采购预算的供应商不足3家的；</w:t>
      </w:r>
    </w:p>
    <w:p>
      <w:pPr>
        <w:spacing w:line="360" w:lineRule="auto"/>
        <w:ind w:left="105" w:leftChars="50" w:firstLine="360" w:firstLineChars="150"/>
        <w:contextualSpacing/>
        <w:rPr>
          <w:rFonts w:ascii="宋体" w:hAnsi="宋体"/>
          <w:color w:val="000000"/>
          <w:sz w:val="24"/>
        </w:rPr>
      </w:pPr>
      <w:r>
        <w:rPr>
          <w:rFonts w:hint="eastAsia" w:ascii="宋体" w:hAnsi="宋体"/>
          <w:color w:val="000000"/>
          <w:sz w:val="24"/>
        </w:rPr>
        <w:t>（2）出现影响采购公正的违法、违规行为的；</w:t>
      </w:r>
    </w:p>
    <w:p>
      <w:pPr>
        <w:spacing w:line="360" w:lineRule="auto"/>
        <w:ind w:firstLine="360" w:firstLineChars="150"/>
        <w:rPr>
          <w:rFonts w:ascii="宋体" w:hAnsi="宋体"/>
          <w:color w:val="000000"/>
          <w:sz w:val="24"/>
        </w:rPr>
      </w:pPr>
      <w:r>
        <w:rPr>
          <w:rFonts w:hint="eastAsia" w:ascii="宋体" w:hAnsi="宋体"/>
          <w:color w:val="000000"/>
          <w:sz w:val="24"/>
        </w:rPr>
        <w:t xml:space="preserve"> （3）因情况变化，不再符合规定的竞争性磋商采购方式适用情况的；</w:t>
      </w:r>
    </w:p>
    <w:p>
      <w:pPr>
        <w:spacing w:line="360" w:lineRule="auto"/>
        <w:ind w:firstLine="360" w:firstLineChars="150"/>
        <w:rPr>
          <w:rFonts w:ascii="宋体" w:hAnsi="宋体"/>
          <w:color w:val="000000"/>
          <w:sz w:val="24"/>
        </w:rPr>
      </w:pPr>
      <w:r>
        <w:rPr>
          <w:rFonts w:hint="eastAsia" w:ascii="宋体" w:hAnsi="宋体"/>
          <w:color w:val="000000"/>
          <w:sz w:val="24"/>
        </w:rPr>
        <w:t xml:space="preserve"> （4）未承诺完全响应招标服务需求条款的；</w:t>
      </w:r>
    </w:p>
    <w:p>
      <w:pPr>
        <w:spacing w:line="360" w:lineRule="auto"/>
        <w:ind w:firstLine="360" w:firstLineChars="150"/>
        <w:rPr>
          <w:rFonts w:ascii="宋体" w:hAnsi="宋体"/>
          <w:color w:val="000000"/>
          <w:sz w:val="24"/>
        </w:rPr>
      </w:pPr>
      <w:r>
        <w:rPr>
          <w:rFonts w:hint="eastAsia" w:ascii="宋体" w:hAnsi="宋体"/>
          <w:color w:val="000000"/>
          <w:sz w:val="24"/>
        </w:rPr>
        <w:t>7.2出现下列情况之一的，采购人或者采购代理机构有权取消供应商磋商资格：</w:t>
      </w:r>
    </w:p>
    <w:p>
      <w:pPr>
        <w:spacing w:line="360" w:lineRule="auto"/>
        <w:ind w:firstLine="360" w:firstLineChars="150"/>
        <w:rPr>
          <w:rFonts w:ascii="宋体" w:hAnsi="宋体"/>
          <w:color w:val="FF0000"/>
          <w:sz w:val="24"/>
        </w:rPr>
      </w:pPr>
      <w:r>
        <w:rPr>
          <w:rFonts w:hint="eastAsia" w:ascii="宋体" w:hAnsi="宋体"/>
          <w:color w:val="000000"/>
          <w:sz w:val="24"/>
        </w:rPr>
        <w:t xml:space="preserve"> </w:t>
      </w:r>
      <w:r>
        <w:rPr>
          <w:rFonts w:hint="eastAsia" w:ascii="宋体" w:hAnsi="宋体"/>
          <w:color w:val="FF0000"/>
          <w:sz w:val="24"/>
        </w:rPr>
        <w:t>（1）报价明显低于其他投标单位报价，且不能合理解释，被招标小组认定以低于成本价竞标的。</w:t>
      </w:r>
    </w:p>
    <w:p>
      <w:pPr>
        <w:spacing w:line="360" w:lineRule="auto"/>
        <w:ind w:firstLine="360" w:firstLineChars="150"/>
        <w:rPr>
          <w:rFonts w:ascii="宋体" w:hAnsi="宋体"/>
          <w:color w:val="FF0000"/>
          <w:sz w:val="24"/>
        </w:rPr>
      </w:pPr>
      <w:r>
        <w:rPr>
          <w:rFonts w:hint="eastAsia" w:ascii="宋体" w:hAnsi="宋体"/>
          <w:color w:val="FF0000"/>
          <w:sz w:val="24"/>
        </w:rPr>
        <w:t xml:space="preserve"> （2）投标单位拒绝按招标小组要求对投标文件进行澄清、说明或者补正的。</w:t>
      </w:r>
    </w:p>
    <w:p>
      <w:pPr>
        <w:spacing w:line="360" w:lineRule="auto"/>
        <w:ind w:firstLine="360" w:firstLineChars="150"/>
        <w:rPr>
          <w:rFonts w:ascii="宋体" w:hAnsi="宋体"/>
          <w:color w:val="FF0000"/>
          <w:sz w:val="24"/>
        </w:rPr>
      </w:pPr>
      <w:r>
        <w:rPr>
          <w:rFonts w:hint="eastAsia" w:ascii="宋体" w:hAnsi="宋体"/>
          <w:color w:val="FF0000"/>
          <w:sz w:val="24"/>
        </w:rPr>
        <w:t xml:space="preserve"> （3）投标单位未按招标方规定的开标时间出席开标的，即视为废标。</w:t>
      </w:r>
    </w:p>
    <w:p>
      <w:pPr>
        <w:pStyle w:val="4"/>
        <w:spacing w:before="0" w:after="0" w:line="360" w:lineRule="auto"/>
        <w:ind w:firstLine="1205"/>
        <w:contextualSpacing/>
        <w:rPr>
          <w:rFonts w:ascii="宋体" w:hAnsi="宋体"/>
          <w:sz w:val="24"/>
          <w:szCs w:val="24"/>
        </w:rPr>
      </w:pPr>
      <w:bookmarkStart w:id="141" w:name="_Toc20230437"/>
      <w:bookmarkStart w:id="142" w:name="_Toc500278653"/>
      <w:bookmarkStart w:id="143" w:name="_Toc452012062"/>
      <w:r>
        <w:rPr>
          <w:rFonts w:hint="eastAsia" w:ascii="宋体" w:hAnsi="宋体"/>
          <w:sz w:val="24"/>
          <w:szCs w:val="24"/>
        </w:rPr>
        <w:t>8、保密</w:t>
      </w:r>
      <w:bookmarkEnd w:id="141"/>
      <w:bookmarkEnd w:id="142"/>
      <w:bookmarkEnd w:id="143"/>
    </w:p>
    <w:p>
      <w:pPr>
        <w:spacing w:line="360" w:lineRule="auto"/>
        <w:ind w:left="525" w:leftChars="250" w:firstLine="1200"/>
        <w:contextualSpacing/>
        <w:rPr>
          <w:rFonts w:ascii="宋体" w:hAnsi="宋体"/>
          <w:sz w:val="24"/>
        </w:rPr>
      </w:pPr>
      <w:r>
        <w:rPr>
          <w:rFonts w:hint="eastAsia" w:ascii="宋体" w:hAnsi="宋体"/>
          <w:sz w:val="24"/>
        </w:rPr>
        <w:t>8.1 有关磋商的任何情况，如文件的审查、澄清、承诺、评审和比较以及有关授予合同的意向等均不得透露。</w:t>
      </w:r>
    </w:p>
    <w:p>
      <w:pPr>
        <w:spacing w:line="360" w:lineRule="auto"/>
        <w:ind w:left="525" w:leftChars="250" w:firstLine="1200"/>
        <w:contextualSpacing/>
        <w:rPr>
          <w:rFonts w:ascii="宋体" w:hAnsi="宋体"/>
          <w:sz w:val="24"/>
        </w:rPr>
      </w:pPr>
      <w:r>
        <w:rPr>
          <w:rFonts w:hint="eastAsia" w:ascii="宋体" w:hAnsi="宋体"/>
          <w:sz w:val="24"/>
        </w:rPr>
        <w:t>8.2 供应商不得以任何方式干扰采购人和磋商小组的评审活动，否则其投标无效并追究其法律责任。</w:t>
      </w:r>
    </w:p>
    <w:p>
      <w:pPr>
        <w:pStyle w:val="4"/>
        <w:spacing w:before="0" w:after="0" w:line="360" w:lineRule="auto"/>
        <w:ind w:firstLine="1205"/>
        <w:contextualSpacing/>
        <w:rPr>
          <w:rFonts w:ascii="宋体" w:hAnsi="宋体"/>
          <w:sz w:val="24"/>
          <w:szCs w:val="24"/>
        </w:rPr>
      </w:pPr>
      <w:bookmarkStart w:id="144" w:name="_Toc452012063"/>
      <w:bookmarkStart w:id="145" w:name="_Toc20230438"/>
      <w:bookmarkStart w:id="146" w:name="_Toc500278654"/>
      <w:r>
        <w:rPr>
          <w:rFonts w:hint="eastAsia" w:ascii="宋体" w:hAnsi="宋体"/>
          <w:sz w:val="24"/>
          <w:szCs w:val="24"/>
        </w:rPr>
        <w:t>9、授予合同</w:t>
      </w:r>
      <w:bookmarkEnd w:id="144"/>
      <w:bookmarkEnd w:id="145"/>
      <w:bookmarkEnd w:id="146"/>
    </w:p>
    <w:p>
      <w:pPr>
        <w:pStyle w:val="4"/>
        <w:spacing w:before="0" w:after="0" w:line="360" w:lineRule="auto"/>
        <w:ind w:firstLine="1205"/>
        <w:contextualSpacing/>
        <w:rPr>
          <w:rFonts w:ascii="宋体" w:hAnsi="宋体"/>
          <w:sz w:val="24"/>
          <w:szCs w:val="24"/>
        </w:rPr>
      </w:pPr>
      <w:bookmarkStart w:id="147" w:name="_Toc500278655"/>
      <w:bookmarkStart w:id="148" w:name="_Toc20230439"/>
      <w:bookmarkStart w:id="149" w:name="_Toc452012064"/>
      <w:r>
        <w:rPr>
          <w:rFonts w:hint="eastAsia" w:ascii="宋体" w:hAnsi="宋体"/>
          <w:sz w:val="24"/>
          <w:szCs w:val="24"/>
        </w:rPr>
        <w:t>9.1、成交供应商确定准则</w:t>
      </w:r>
      <w:bookmarkEnd w:id="147"/>
      <w:bookmarkEnd w:id="148"/>
      <w:bookmarkEnd w:id="149"/>
    </w:p>
    <w:p>
      <w:pPr>
        <w:tabs>
          <w:tab w:val="left" w:pos="-1418"/>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9.1.1 经磋商确定最终采购需求和提交最后报价的供应商后，磋商小组采用低价评标法确定成交供应商。</w:t>
      </w:r>
    </w:p>
    <w:p>
      <w:pPr>
        <w:tabs>
          <w:tab w:val="left" w:pos="-1418"/>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低价评标法是指响应文件满足磋商文件全部实质性要求且按照报价由低到高顺序排列，报价相同的，按照技术方案优劣顺序排列，以提出最低报价的磋商方作为预成交供应商。磋商小组认定为低价恶意竞争的视为无效报价。</w:t>
      </w:r>
    </w:p>
    <w:p>
      <w:pPr>
        <w:pStyle w:val="4"/>
        <w:spacing w:before="0" w:after="0" w:line="360" w:lineRule="auto"/>
        <w:ind w:firstLine="1205"/>
        <w:contextualSpacing/>
        <w:rPr>
          <w:rFonts w:ascii="宋体" w:hAnsi="宋体"/>
          <w:sz w:val="24"/>
          <w:szCs w:val="24"/>
        </w:rPr>
      </w:pPr>
      <w:bookmarkStart w:id="150" w:name="_Toc20230442"/>
      <w:bookmarkStart w:id="151" w:name="_Toc452012067"/>
      <w:bookmarkStart w:id="152" w:name="_Toc500278659"/>
      <w:r>
        <w:rPr>
          <w:rFonts w:hint="eastAsia" w:ascii="宋体" w:hAnsi="宋体"/>
          <w:sz w:val="24"/>
          <w:szCs w:val="24"/>
        </w:rPr>
        <w:t>10、签订采购合同</w:t>
      </w:r>
      <w:bookmarkEnd w:id="150"/>
      <w:bookmarkEnd w:id="151"/>
      <w:bookmarkEnd w:id="152"/>
    </w:p>
    <w:p>
      <w:pPr>
        <w:spacing w:line="360" w:lineRule="auto"/>
        <w:ind w:firstLine="480" w:firstLineChars="200"/>
        <w:rPr>
          <w:rFonts w:ascii="宋体" w:hAnsi="宋体"/>
          <w:sz w:val="24"/>
        </w:rPr>
      </w:pPr>
      <w:r>
        <w:rPr>
          <w:rFonts w:hint="eastAsia" w:ascii="宋体" w:hAnsi="宋体"/>
          <w:sz w:val="24"/>
        </w:rPr>
        <w:t>10.1 自成交结果公告发出后30日内成交供应商与采购人签订采购合同。</w:t>
      </w:r>
    </w:p>
    <w:p>
      <w:pPr>
        <w:spacing w:line="360" w:lineRule="auto"/>
        <w:ind w:firstLine="480" w:firstLineChars="200"/>
        <w:rPr>
          <w:rFonts w:ascii="宋体" w:hAnsi="宋体"/>
          <w:sz w:val="24"/>
        </w:rPr>
      </w:pPr>
      <w:r>
        <w:rPr>
          <w:rFonts w:hint="eastAsia" w:ascii="宋体" w:hAnsi="宋体"/>
          <w:sz w:val="24"/>
        </w:rPr>
        <w:t>10.2 《磋商文件》、成交候选供应商的响应文件等，均为有法律约束力的</w:t>
      </w:r>
      <w:r>
        <w:rPr>
          <w:rFonts w:hint="eastAsia" w:ascii="宋体" w:hAnsi="宋体"/>
          <w:bCs/>
          <w:sz w:val="24"/>
        </w:rPr>
        <w:t>采购合同的组成部分</w:t>
      </w:r>
      <w:r>
        <w:rPr>
          <w:rFonts w:hint="eastAsia" w:ascii="宋体" w:hAnsi="宋体"/>
          <w:sz w:val="24"/>
        </w:rPr>
        <w:t>。</w:t>
      </w:r>
    </w:p>
    <w:p>
      <w:pPr>
        <w:pStyle w:val="4"/>
        <w:spacing w:before="0" w:after="0" w:line="360" w:lineRule="auto"/>
        <w:ind w:firstLine="1205"/>
        <w:contextualSpacing/>
        <w:rPr>
          <w:rFonts w:ascii="宋体" w:hAnsi="宋体"/>
          <w:sz w:val="24"/>
          <w:szCs w:val="24"/>
        </w:rPr>
      </w:pPr>
      <w:r>
        <w:rPr>
          <w:rFonts w:hint="eastAsia" w:ascii="宋体" w:hAnsi="宋体"/>
          <w:sz w:val="24"/>
          <w:szCs w:val="24"/>
        </w:rPr>
        <w:t>11、其他</w:t>
      </w:r>
    </w:p>
    <w:p>
      <w:pPr>
        <w:spacing w:line="360" w:lineRule="auto"/>
        <w:ind w:firstLine="480" w:firstLineChars="200"/>
        <w:rPr>
          <w:rFonts w:ascii="宋体" w:hAnsi="宋体"/>
          <w:sz w:val="24"/>
        </w:rPr>
      </w:pPr>
      <w:bookmarkStart w:id="153" w:name="_Toc42114261"/>
      <w:bookmarkStart w:id="154" w:name="_Toc500278662"/>
      <w:r>
        <w:rPr>
          <w:rFonts w:hint="eastAsia" w:ascii="宋体" w:hAnsi="宋体"/>
          <w:sz w:val="24"/>
        </w:rPr>
        <w:t>本项目供应商如有递交的样品，对于未成交供应商提供的样品，在采购活动结束后将退还给各供应商或者经未成交供应商同意后由采购人自行处理；对于成交供应商提供的样品，采购人将封存，作为后续成交供应商履约验收的标准。</w:t>
      </w:r>
    </w:p>
    <w:p>
      <w:pPr>
        <w:tabs>
          <w:tab w:val="left" w:pos="1305"/>
        </w:tabs>
        <w:ind w:firstLine="1200"/>
        <w:rPr>
          <w:rFonts w:ascii="宋体" w:hAnsi="宋体"/>
          <w:sz w:val="24"/>
        </w:rPr>
      </w:pPr>
    </w:p>
    <w:p>
      <w:pPr>
        <w:tabs>
          <w:tab w:val="left" w:pos="1305"/>
        </w:tabs>
        <w:ind w:firstLine="1200"/>
        <w:rPr>
          <w:rFonts w:ascii="宋体" w:hAnsi="宋体"/>
          <w:sz w:val="24"/>
        </w:rPr>
      </w:pPr>
      <w:r>
        <w:rPr>
          <w:rFonts w:hint="eastAsia" w:ascii="宋体" w:hAnsi="宋体"/>
          <w:sz w:val="24"/>
        </w:rPr>
        <w:tab/>
      </w:r>
    </w:p>
    <w:p>
      <w:pPr>
        <w:widowControl/>
        <w:ind w:firstLine="1200"/>
        <w:jc w:val="left"/>
        <w:rPr>
          <w:rFonts w:ascii="宋体" w:hAnsi="宋体"/>
          <w:sz w:val="24"/>
        </w:rPr>
        <w:sectPr>
          <w:footnotePr>
            <w:numRestart w:val="eachPage"/>
          </w:footnotePr>
          <w:pgSz w:w="11906" w:h="16838"/>
          <w:pgMar w:top="1418" w:right="1418" w:bottom="1418" w:left="1418" w:header="851" w:footer="992" w:gutter="0"/>
          <w:cols w:space="720" w:num="1"/>
        </w:sectPr>
      </w:pPr>
    </w:p>
    <w:p>
      <w:pPr>
        <w:pStyle w:val="2"/>
        <w:rPr>
          <w:sz w:val="36"/>
          <w:lang w:val="en-US"/>
        </w:rPr>
      </w:pPr>
      <w:r>
        <w:rPr>
          <w:rFonts w:hint="eastAsia"/>
          <w:sz w:val="36"/>
        </w:rPr>
        <w:t>第三部分</w:t>
      </w:r>
      <w:r>
        <w:rPr>
          <w:sz w:val="36"/>
        </w:rPr>
        <w:t xml:space="preserve"> </w:t>
      </w:r>
      <w:r>
        <w:rPr>
          <w:rFonts w:hint="eastAsia"/>
          <w:sz w:val="36"/>
          <w:lang w:val="en-US"/>
        </w:rPr>
        <w:t>综合评分标准</w:t>
      </w:r>
    </w:p>
    <w:p>
      <w:pPr>
        <w:ind w:firstLine="1200"/>
      </w:pPr>
    </w:p>
    <w:p>
      <w:pPr>
        <w:snapToGrid w:val="0"/>
        <w:spacing w:line="500" w:lineRule="exact"/>
        <w:ind w:firstLine="480" w:firstLineChars="200"/>
        <w:rPr>
          <w:rFonts w:ascii="宋体" w:hAnsi="宋体" w:cs="宋体"/>
          <w:sz w:val="24"/>
        </w:rPr>
      </w:pPr>
      <w:r>
        <w:rPr>
          <w:rFonts w:hint="eastAsia" w:ascii="宋体" w:hAnsi="宋体" w:cs="宋体"/>
          <w:sz w:val="24"/>
        </w:rPr>
        <w:t>本综合评分办法将供应商资信、业绩、服务、价格等各项因素作为评分的基础，每个供应商的最终得分为磋商小组所有成员为其评分的算术平均值。</w:t>
      </w:r>
    </w:p>
    <w:p>
      <w:pPr>
        <w:snapToGrid w:val="0"/>
        <w:spacing w:line="500" w:lineRule="exact"/>
        <w:ind w:firstLine="480" w:firstLineChars="200"/>
        <w:rPr>
          <w:rFonts w:ascii="宋体" w:hAnsi="宋体" w:cs="宋体"/>
          <w:sz w:val="24"/>
        </w:rPr>
      </w:pPr>
      <w:r>
        <w:rPr>
          <w:rFonts w:hint="eastAsia" w:ascii="宋体" w:hAnsi="宋体" w:cs="宋体"/>
          <w:sz w:val="24"/>
        </w:rPr>
        <w:t>具体评分标准如下：</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vAlign w:val="center"/>
          </w:tcPr>
          <w:p>
            <w:pPr>
              <w:pStyle w:val="123"/>
              <w:tabs>
                <w:tab w:val="left" w:pos="794"/>
                <w:tab w:val="clear" w:pos="840"/>
                <w:tab w:val="clear" w:pos="1680"/>
                <w:tab w:val="clear" w:pos="8302"/>
              </w:tabs>
              <w:spacing w:beforeLines="0" w:line="500" w:lineRule="exact"/>
              <w:ind w:left="0" w:leftChars="0" w:firstLine="1205"/>
              <w:jc w:val="center"/>
              <w:rPr>
                <w:rFonts w:ascii="宋体" w:hAnsi="宋体" w:cs="宋体"/>
                <w:b/>
              </w:rPr>
            </w:pPr>
            <w:r>
              <w:rPr>
                <w:rFonts w:hint="eastAsia" w:ascii="宋体" w:hAnsi="宋体" w:cs="宋体"/>
                <w:b/>
              </w:rPr>
              <w:t>评分因素</w:t>
            </w:r>
          </w:p>
        </w:tc>
        <w:tc>
          <w:tcPr>
            <w:tcW w:w="4252" w:type="dxa"/>
            <w:vAlign w:val="center"/>
          </w:tcPr>
          <w:p>
            <w:pPr>
              <w:pStyle w:val="123"/>
              <w:tabs>
                <w:tab w:val="left" w:pos="794"/>
                <w:tab w:val="clear" w:pos="840"/>
                <w:tab w:val="clear" w:pos="1680"/>
                <w:tab w:val="clear" w:pos="8302"/>
              </w:tabs>
              <w:spacing w:beforeLines="0" w:line="500" w:lineRule="exact"/>
              <w:ind w:left="0" w:leftChars="0" w:firstLine="1205"/>
              <w:jc w:val="center"/>
              <w:rPr>
                <w:rFonts w:ascii="宋体" w:hAnsi="宋体" w:cs="宋体"/>
                <w:b/>
              </w:rPr>
            </w:pPr>
            <w:r>
              <w:rPr>
                <w:rFonts w:hint="eastAsia" w:ascii="宋体" w:hAnsi="宋体" w:cs="宋体"/>
                <w:b/>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vAlign w:val="center"/>
          </w:tcPr>
          <w:p>
            <w:pPr>
              <w:pStyle w:val="123"/>
              <w:tabs>
                <w:tab w:val="left" w:pos="794"/>
                <w:tab w:val="clear" w:pos="840"/>
                <w:tab w:val="clear" w:pos="1680"/>
                <w:tab w:val="clear" w:pos="8302"/>
              </w:tabs>
              <w:spacing w:beforeLines="0" w:line="500" w:lineRule="exact"/>
              <w:ind w:left="0" w:leftChars="0" w:firstLine="1200"/>
              <w:jc w:val="center"/>
              <w:rPr>
                <w:rFonts w:ascii="宋体" w:hAnsi="宋体" w:cs="宋体"/>
              </w:rPr>
            </w:pPr>
            <w:r>
              <w:rPr>
                <w:rFonts w:hint="eastAsia" w:ascii="宋体" w:hAnsi="宋体" w:cs="宋体"/>
              </w:rPr>
              <w:t>技术部分</w:t>
            </w:r>
          </w:p>
        </w:tc>
        <w:tc>
          <w:tcPr>
            <w:tcW w:w="4252" w:type="dxa"/>
            <w:vAlign w:val="center"/>
          </w:tcPr>
          <w:p>
            <w:pPr>
              <w:pStyle w:val="123"/>
              <w:tabs>
                <w:tab w:val="left" w:pos="745"/>
                <w:tab w:val="left" w:pos="794"/>
                <w:tab w:val="clear" w:pos="840"/>
                <w:tab w:val="clear" w:pos="1680"/>
                <w:tab w:val="clear" w:pos="8302"/>
              </w:tabs>
              <w:spacing w:beforeLines="0" w:line="500" w:lineRule="exact"/>
              <w:ind w:left="0" w:leftChars="0" w:firstLine="1200"/>
              <w:jc w:val="center"/>
              <w:rPr>
                <w:rFonts w:ascii="宋体" w:hAnsi="宋体" w:cs="宋体"/>
              </w:rPr>
            </w:pPr>
            <w:r>
              <w:rPr>
                <w:rFonts w:hint="eastAsia" w:ascii="宋体" w:hAnsi="宋体" w:cs="宋体"/>
              </w:rPr>
              <w:t>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vAlign w:val="center"/>
          </w:tcPr>
          <w:p>
            <w:pPr>
              <w:pStyle w:val="123"/>
              <w:tabs>
                <w:tab w:val="left" w:pos="794"/>
                <w:tab w:val="clear" w:pos="840"/>
                <w:tab w:val="clear" w:pos="1680"/>
                <w:tab w:val="clear" w:pos="8302"/>
              </w:tabs>
              <w:spacing w:beforeLines="0" w:line="500" w:lineRule="exact"/>
              <w:ind w:left="0" w:leftChars="0" w:firstLine="1200"/>
              <w:jc w:val="center"/>
              <w:rPr>
                <w:rFonts w:ascii="宋体" w:hAnsi="宋体" w:cs="宋体"/>
              </w:rPr>
            </w:pPr>
            <w:r>
              <w:rPr>
                <w:rFonts w:hint="eastAsia" w:ascii="宋体" w:hAnsi="宋体" w:cs="宋体"/>
              </w:rPr>
              <w:t>商务部分</w:t>
            </w:r>
          </w:p>
        </w:tc>
        <w:tc>
          <w:tcPr>
            <w:tcW w:w="4252" w:type="dxa"/>
            <w:vAlign w:val="center"/>
          </w:tcPr>
          <w:p>
            <w:pPr>
              <w:pStyle w:val="123"/>
              <w:tabs>
                <w:tab w:val="left" w:pos="745"/>
                <w:tab w:val="left" w:pos="794"/>
                <w:tab w:val="clear" w:pos="840"/>
                <w:tab w:val="clear" w:pos="1680"/>
                <w:tab w:val="clear" w:pos="8302"/>
              </w:tabs>
              <w:spacing w:beforeLines="0" w:line="500" w:lineRule="exact"/>
              <w:ind w:left="0" w:leftChars="0" w:firstLine="1200"/>
              <w:jc w:val="center"/>
              <w:rPr>
                <w:rFonts w:ascii="宋体" w:hAnsi="宋体" w:cs="宋体"/>
              </w:rPr>
            </w:pPr>
            <w:r>
              <w:rPr>
                <w:rFonts w:hint="eastAsia" w:ascii="宋体" w:hAnsi="宋体" w:cs="宋体"/>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vAlign w:val="center"/>
          </w:tcPr>
          <w:p>
            <w:pPr>
              <w:pStyle w:val="123"/>
              <w:tabs>
                <w:tab w:val="left" w:pos="794"/>
                <w:tab w:val="clear" w:pos="840"/>
                <w:tab w:val="clear" w:pos="1680"/>
                <w:tab w:val="clear" w:pos="8302"/>
              </w:tabs>
              <w:spacing w:beforeLines="0" w:line="500" w:lineRule="exact"/>
              <w:ind w:left="0" w:leftChars="0" w:firstLine="1200"/>
              <w:jc w:val="center"/>
              <w:rPr>
                <w:rFonts w:ascii="宋体" w:hAnsi="宋体" w:cs="宋体"/>
              </w:rPr>
            </w:pPr>
            <w:r>
              <w:rPr>
                <w:rFonts w:hint="eastAsia" w:ascii="宋体" w:hAnsi="宋体" w:cs="宋体"/>
              </w:rPr>
              <w:t>价格部分</w:t>
            </w:r>
          </w:p>
        </w:tc>
        <w:tc>
          <w:tcPr>
            <w:tcW w:w="4252" w:type="dxa"/>
            <w:vAlign w:val="center"/>
          </w:tcPr>
          <w:p>
            <w:pPr>
              <w:pStyle w:val="123"/>
              <w:tabs>
                <w:tab w:val="left" w:pos="745"/>
                <w:tab w:val="left" w:pos="794"/>
                <w:tab w:val="clear" w:pos="840"/>
                <w:tab w:val="clear" w:pos="1680"/>
                <w:tab w:val="clear" w:pos="8302"/>
              </w:tabs>
              <w:spacing w:beforeLines="0" w:line="500" w:lineRule="exact"/>
              <w:ind w:left="0" w:leftChars="0" w:firstLine="1200"/>
              <w:jc w:val="center"/>
              <w:rPr>
                <w:rFonts w:ascii="宋体" w:hAnsi="宋体" w:cs="宋体"/>
              </w:rPr>
            </w:pPr>
            <w:r>
              <w:rPr>
                <w:rFonts w:hint="eastAsia" w:ascii="宋体" w:hAnsi="宋体" w:cs="宋体"/>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vAlign w:val="center"/>
          </w:tcPr>
          <w:p>
            <w:pPr>
              <w:pStyle w:val="123"/>
              <w:tabs>
                <w:tab w:val="left" w:pos="794"/>
                <w:tab w:val="clear" w:pos="840"/>
                <w:tab w:val="clear" w:pos="1680"/>
                <w:tab w:val="clear" w:pos="8302"/>
              </w:tabs>
              <w:spacing w:beforeLines="0" w:line="500" w:lineRule="exact"/>
              <w:ind w:left="0" w:leftChars="0" w:firstLine="1200"/>
              <w:jc w:val="center"/>
              <w:rPr>
                <w:rFonts w:ascii="宋体" w:hAnsi="宋体" w:cs="宋体"/>
              </w:rPr>
            </w:pPr>
            <w:r>
              <w:rPr>
                <w:rFonts w:hint="eastAsia" w:ascii="宋体" w:hAnsi="宋体" w:cs="宋体"/>
              </w:rPr>
              <w:t>合计</w:t>
            </w:r>
          </w:p>
        </w:tc>
        <w:tc>
          <w:tcPr>
            <w:tcW w:w="4252" w:type="dxa"/>
            <w:vAlign w:val="center"/>
          </w:tcPr>
          <w:p>
            <w:pPr>
              <w:pStyle w:val="123"/>
              <w:tabs>
                <w:tab w:val="left" w:pos="794"/>
                <w:tab w:val="clear" w:pos="840"/>
                <w:tab w:val="clear" w:pos="1680"/>
                <w:tab w:val="clear" w:pos="8302"/>
              </w:tabs>
              <w:spacing w:beforeLines="0" w:line="500" w:lineRule="exact"/>
              <w:ind w:left="0" w:leftChars="0" w:firstLine="1200"/>
              <w:jc w:val="center"/>
              <w:rPr>
                <w:rFonts w:ascii="宋体" w:hAnsi="宋体" w:cs="宋体"/>
              </w:rPr>
            </w:pPr>
            <w:r>
              <w:rPr>
                <w:rFonts w:hint="eastAsia" w:ascii="宋体" w:hAnsi="宋体" w:cs="宋体"/>
              </w:rPr>
              <w:t>100分</w:t>
            </w:r>
          </w:p>
        </w:tc>
      </w:tr>
    </w:tbl>
    <w:p>
      <w:pPr>
        <w:snapToGrid w:val="0"/>
        <w:spacing w:line="500" w:lineRule="exact"/>
        <w:ind w:firstLine="480" w:firstLineChars="200"/>
        <w:rPr>
          <w:rFonts w:ascii="宋体" w:hAnsi="宋体" w:cs="宋体"/>
          <w:sz w:val="24"/>
        </w:rPr>
      </w:pPr>
      <w:r>
        <w:rPr>
          <w:rFonts w:hint="eastAsia" w:ascii="宋体" w:hAnsi="宋体" w:cs="宋体"/>
          <w:sz w:val="24"/>
        </w:rPr>
        <w:t>每个供应商的综合总得分由以下三部分组成(每部分得分计算以四舍五入的方式保留到小数点后两位)：</w:t>
      </w:r>
    </w:p>
    <w:p>
      <w:pPr>
        <w:spacing w:line="500" w:lineRule="exact"/>
        <w:ind w:firstLine="1200"/>
        <w:rPr>
          <w:rFonts w:ascii="宋体" w:hAnsi="宋体" w:cs="宋体"/>
          <w:sz w:val="24"/>
        </w:rPr>
      </w:pPr>
      <w:r>
        <w:rPr>
          <w:rFonts w:hint="eastAsia" w:ascii="宋体" w:hAnsi="宋体" w:cs="宋体"/>
          <w:sz w:val="24"/>
        </w:rPr>
        <w:t>（1）技术得分：磋商小组所有成员为其评分的算术平均值；</w:t>
      </w:r>
    </w:p>
    <w:p>
      <w:pPr>
        <w:spacing w:line="500" w:lineRule="exact"/>
        <w:ind w:firstLine="1200"/>
        <w:rPr>
          <w:rFonts w:ascii="宋体" w:hAnsi="宋体" w:cs="宋体"/>
          <w:sz w:val="24"/>
        </w:rPr>
      </w:pPr>
      <w:r>
        <w:rPr>
          <w:rFonts w:hint="eastAsia" w:ascii="宋体" w:hAnsi="宋体" w:cs="宋体"/>
          <w:sz w:val="24"/>
        </w:rPr>
        <w:t>（2）商务部分：磋商小组所有成员为其评分的算术平均值；</w:t>
      </w:r>
    </w:p>
    <w:p>
      <w:pPr>
        <w:spacing w:line="500" w:lineRule="exact"/>
        <w:ind w:firstLine="1200"/>
        <w:rPr>
          <w:rFonts w:ascii="宋体" w:hAnsi="宋体" w:cs="宋体"/>
          <w:sz w:val="24"/>
        </w:rPr>
      </w:pPr>
      <w:r>
        <w:rPr>
          <w:rFonts w:hint="eastAsia" w:ascii="宋体" w:hAnsi="宋体" w:cs="宋体"/>
          <w:sz w:val="24"/>
        </w:rPr>
        <w:t>（2）价格得分：有效最后报价得分（保留小数点后两位）：A=25*L/B ；A：得分； B：有效最后报价；L：有效最低最后报价。</w:t>
      </w:r>
    </w:p>
    <w:p>
      <w:pPr>
        <w:spacing w:line="500" w:lineRule="exact"/>
        <w:ind w:firstLine="480" w:firstLineChars="200"/>
        <w:rPr>
          <w:rFonts w:ascii="宋体" w:hAnsi="宋体" w:cs="宋体"/>
          <w:sz w:val="24"/>
        </w:rPr>
      </w:pPr>
      <w:r>
        <w:rPr>
          <w:rFonts w:hint="eastAsia" w:ascii="宋体" w:hAnsi="宋体" w:cs="宋体"/>
          <w:sz w:val="24"/>
        </w:rPr>
        <w:t>供应商综合总得分＝技术得分＋商务得分+价格得分。</w:t>
      </w:r>
    </w:p>
    <w:p>
      <w:pPr>
        <w:spacing w:line="500" w:lineRule="exact"/>
        <w:ind w:firstLine="480" w:firstLineChars="200"/>
        <w:rPr>
          <w:rFonts w:ascii="宋体" w:hAnsi="宋体" w:cs="宋体"/>
          <w:sz w:val="24"/>
        </w:rPr>
      </w:pPr>
      <w:r>
        <w:rPr>
          <w:rFonts w:hint="eastAsia" w:ascii="宋体" w:hAnsi="宋体" w:cs="宋体"/>
          <w:sz w:val="24"/>
        </w:rPr>
        <w:t>磋商推荐成交候选供应商：磋商小组根据综合评分情况，按照评审得分由高到低顺序推荐3名成交候选供应商。评审得分相同的，按照最后报价由低到高的顺序推荐。评审得分且最后报价相同的，按照技术评分得分由高到低顺序推荐，技术评分也相同的，由磋商小组表决确定排序。采购人将根据磋商小组的推荐意见，依法确定成交供应商。</w:t>
      </w:r>
    </w:p>
    <w:p>
      <w:pPr>
        <w:ind w:firstLine="1200"/>
        <w:rPr>
          <w:rFonts w:ascii="宋体" w:hAnsi="宋体" w:cs="宋体"/>
          <w:sz w:val="24"/>
        </w:rPr>
        <w:sectPr>
          <w:pgSz w:w="11906" w:h="16838"/>
          <w:pgMar w:top="1440" w:right="1800" w:bottom="1440" w:left="1800" w:header="851" w:footer="992" w:gutter="0"/>
          <w:cols w:space="425" w:num="1"/>
          <w:docGrid w:type="lines" w:linePitch="312" w:charSpace="0"/>
        </w:sectPr>
      </w:pPr>
    </w:p>
    <w:p>
      <w:pPr>
        <w:spacing w:line="560" w:lineRule="exact"/>
        <w:ind w:firstLine="1405"/>
        <w:jc w:val="center"/>
        <w:rPr>
          <w:rFonts w:ascii="宋体" w:hAnsi="宋体"/>
          <w:b/>
          <w:sz w:val="28"/>
          <w:szCs w:val="28"/>
        </w:rPr>
      </w:pPr>
      <w:r>
        <w:rPr>
          <w:rFonts w:hint="eastAsia" w:ascii="宋体" w:hAnsi="宋体"/>
          <w:b/>
          <w:sz w:val="28"/>
          <w:szCs w:val="28"/>
        </w:rPr>
        <w:t>商务、技术部分评审表</w:t>
      </w:r>
    </w:p>
    <w:p>
      <w:pPr>
        <w:ind w:firstLine="1200"/>
        <w:jc w:val="left"/>
        <w:rPr>
          <w:rFonts w:ascii="宋体" w:hAnsi="宋体" w:cs="宋体"/>
          <w:sz w:val="24"/>
        </w:rPr>
      </w:pPr>
      <w:r>
        <w:rPr>
          <w:rFonts w:hint="eastAsia" w:ascii="宋体" w:hAnsi="宋体" w:cs="宋体"/>
          <w:sz w:val="24"/>
        </w:rPr>
        <w:t>项目名称：</w:t>
      </w:r>
    </w:p>
    <w:tbl>
      <w:tblPr>
        <w:tblStyle w:val="4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28"/>
        <w:gridCol w:w="1897"/>
        <w:gridCol w:w="422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14" w:type="dxa"/>
            <w:vAlign w:val="center"/>
          </w:tcPr>
          <w:p>
            <w:pPr>
              <w:widowControl/>
              <w:jc w:val="left"/>
              <w:rPr>
                <w:rFonts w:ascii="宋体" w:hAnsi="宋体"/>
                <w:kern w:val="0"/>
                <w:szCs w:val="21"/>
              </w:rPr>
            </w:pPr>
            <w:r>
              <w:rPr>
                <w:rFonts w:hint="eastAsia" w:ascii="宋体" w:hAnsi="宋体"/>
                <w:kern w:val="0"/>
                <w:szCs w:val="21"/>
              </w:rPr>
              <w:t>序号</w:t>
            </w:r>
          </w:p>
        </w:tc>
        <w:tc>
          <w:tcPr>
            <w:tcW w:w="1128" w:type="dxa"/>
            <w:vAlign w:val="center"/>
          </w:tcPr>
          <w:p>
            <w:pPr>
              <w:widowControl/>
              <w:jc w:val="left"/>
              <w:rPr>
                <w:rFonts w:ascii="宋体" w:hAnsi="宋体"/>
                <w:kern w:val="0"/>
                <w:szCs w:val="21"/>
              </w:rPr>
            </w:pPr>
            <w:r>
              <w:rPr>
                <w:rFonts w:hint="eastAsia" w:ascii="宋体" w:hAnsi="宋体"/>
                <w:kern w:val="0"/>
                <w:szCs w:val="21"/>
              </w:rPr>
              <w:t>类别</w:t>
            </w:r>
          </w:p>
        </w:tc>
        <w:tc>
          <w:tcPr>
            <w:tcW w:w="1897" w:type="dxa"/>
            <w:vAlign w:val="center"/>
          </w:tcPr>
          <w:p>
            <w:pPr>
              <w:widowControl/>
              <w:jc w:val="left"/>
              <w:rPr>
                <w:rFonts w:ascii="宋体" w:hAnsi="宋体"/>
                <w:kern w:val="0"/>
                <w:szCs w:val="21"/>
              </w:rPr>
            </w:pPr>
            <w:r>
              <w:rPr>
                <w:rFonts w:hint="eastAsia" w:ascii="宋体" w:hAnsi="宋体"/>
                <w:kern w:val="0"/>
                <w:szCs w:val="21"/>
              </w:rPr>
              <w:t>目内容</w:t>
            </w:r>
          </w:p>
        </w:tc>
        <w:tc>
          <w:tcPr>
            <w:tcW w:w="4229" w:type="dxa"/>
            <w:vAlign w:val="center"/>
          </w:tcPr>
          <w:p>
            <w:pPr>
              <w:widowControl/>
              <w:ind w:firstLine="1200"/>
              <w:jc w:val="left"/>
              <w:rPr>
                <w:rFonts w:ascii="宋体" w:hAnsi="宋体"/>
                <w:kern w:val="0"/>
                <w:szCs w:val="21"/>
              </w:rPr>
            </w:pPr>
            <w:r>
              <w:rPr>
                <w:rFonts w:hint="eastAsia" w:ascii="宋体" w:hAnsi="宋体"/>
                <w:kern w:val="0"/>
                <w:szCs w:val="21"/>
              </w:rPr>
              <w:t>评分标准</w:t>
            </w:r>
          </w:p>
        </w:tc>
        <w:tc>
          <w:tcPr>
            <w:tcW w:w="2002" w:type="dxa"/>
            <w:vAlign w:val="center"/>
          </w:tcPr>
          <w:p>
            <w:pPr>
              <w:widowControl/>
              <w:jc w:val="center"/>
              <w:rPr>
                <w:rFonts w:ascii="宋体" w:hAnsi="宋体"/>
                <w:kern w:val="0"/>
                <w:szCs w:val="21"/>
              </w:rPr>
            </w:pPr>
            <w:r>
              <w:rPr>
                <w:rFonts w:hint="eastAsia" w:ascii="宋体" w:hAnsi="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vAlign w:val="center"/>
          </w:tcPr>
          <w:p>
            <w:pPr>
              <w:widowControl/>
              <w:ind w:firstLine="1200"/>
              <w:jc w:val="center"/>
              <w:rPr>
                <w:rFonts w:ascii="宋体" w:hAnsi="宋体"/>
                <w:kern w:val="0"/>
                <w:szCs w:val="21"/>
              </w:rPr>
            </w:pPr>
            <w:r>
              <w:rPr>
                <w:rFonts w:hint="eastAsia" w:ascii="宋体" w:hAnsi="宋体"/>
                <w:kern w:val="0"/>
                <w:szCs w:val="21"/>
              </w:rPr>
              <w:t>11</w:t>
            </w:r>
          </w:p>
        </w:tc>
        <w:tc>
          <w:tcPr>
            <w:tcW w:w="1128" w:type="dxa"/>
            <w:vMerge w:val="restart"/>
            <w:vAlign w:val="center"/>
          </w:tcPr>
          <w:p>
            <w:pPr>
              <w:widowControl/>
              <w:ind w:firstLine="1200"/>
              <w:jc w:val="left"/>
              <w:rPr>
                <w:rFonts w:ascii="宋体" w:hAnsi="宋体"/>
                <w:kern w:val="0"/>
                <w:szCs w:val="21"/>
              </w:rPr>
            </w:pPr>
            <w:r>
              <w:rPr>
                <w:rFonts w:hint="eastAsia" w:ascii="宋体" w:hAnsi="宋体"/>
                <w:kern w:val="0"/>
                <w:szCs w:val="21"/>
              </w:rPr>
              <w:t>商商务部分</w:t>
            </w:r>
          </w:p>
        </w:tc>
        <w:tc>
          <w:tcPr>
            <w:tcW w:w="1897" w:type="dxa"/>
            <w:vAlign w:val="center"/>
          </w:tcPr>
          <w:p>
            <w:pPr>
              <w:widowControl/>
              <w:jc w:val="left"/>
              <w:rPr>
                <w:rFonts w:ascii="宋体" w:hAnsi="宋体"/>
                <w:kern w:val="0"/>
                <w:szCs w:val="21"/>
              </w:rPr>
            </w:pPr>
            <w:r>
              <w:rPr>
                <w:rFonts w:hint="eastAsia" w:ascii="宋体" w:hAnsi="宋体"/>
                <w:kern w:val="0"/>
                <w:szCs w:val="21"/>
              </w:rPr>
              <w:t>投标人业绩</w:t>
            </w:r>
          </w:p>
        </w:tc>
        <w:tc>
          <w:tcPr>
            <w:tcW w:w="4229" w:type="dxa"/>
            <w:vAlign w:val="center"/>
          </w:tcPr>
          <w:p>
            <w:pPr>
              <w:widowControl/>
              <w:spacing w:line="360" w:lineRule="exact"/>
              <w:ind w:firstLine="1200"/>
              <w:rPr>
                <w:rFonts w:ascii="宋体" w:hAnsi="宋体"/>
                <w:szCs w:val="21"/>
              </w:rPr>
            </w:pPr>
            <w:r>
              <w:rPr>
                <w:rFonts w:hint="eastAsia" w:ascii="宋体" w:hAnsi="宋体" w:cs="宋体"/>
                <w:szCs w:val="21"/>
              </w:rPr>
              <w:t>投标人正在服务的项目中，与我司项目有同类型项目的，每个项目得3分，最高15分。</w:t>
            </w:r>
          </w:p>
        </w:tc>
        <w:tc>
          <w:tcPr>
            <w:tcW w:w="2002" w:type="dxa"/>
            <w:vAlign w:val="center"/>
          </w:tcPr>
          <w:p>
            <w:pP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vAlign w:val="center"/>
          </w:tcPr>
          <w:p>
            <w:pPr>
              <w:widowControl/>
              <w:ind w:firstLine="1200"/>
              <w:jc w:val="center"/>
              <w:rPr>
                <w:rFonts w:ascii="宋体" w:hAnsi="宋体"/>
                <w:kern w:val="0"/>
                <w:szCs w:val="21"/>
              </w:rPr>
            </w:pPr>
            <w:r>
              <w:rPr>
                <w:rFonts w:hint="eastAsia" w:ascii="宋体" w:hAnsi="宋体"/>
                <w:kern w:val="0"/>
                <w:szCs w:val="21"/>
              </w:rPr>
              <w:t>22</w:t>
            </w:r>
          </w:p>
        </w:tc>
        <w:tc>
          <w:tcPr>
            <w:tcW w:w="1128" w:type="dxa"/>
            <w:vMerge w:val="continue"/>
            <w:vAlign w:val="center"/>
          </w:tcPr>
          <w:p>
            <w:pPr>
              <w:widowControl/>
              <w:ind w:firstLine="1200"/>
              <w:jc w:val="center"/>
              <w:rPr>
                <w:rFonts w:ascii="宋体" w:hAnsi="宋体"/>
                <w:kern w:val="0"/>
                <w:szCs w:val="21"/>
              </w:rPr>
            </w:pPr>
          </w:p>
        </w:tc>
        <w:tc>
          <w:tcPr>
            <w:tcW w:w="1897" w:type="dxa"/>
            <w:vAlign w:val="center"/>
          </w:tcPr>
          <w:p>
            <w:pPr>
              <w:widowControl/>
              <w:rPr>
                <w:rFonts w:ascii="宋体" w:hAnsi="宋体"/>
                <w:kern w:val="0"/>
                <w:szCs w:val="21"/>
              </w:rPr>
            </w:pPr>
            <w:r>
              <w:rPr>
                <w:rFonts w:hint="eastAsia" w:ascii="宋体" w:hAnsi="宋体"/>
                <w:kern w:val="0"/>
                <w:szCs w:val="21"/>
              </w:rPr>
              <w:t>质量认证体系</w:t>
            </w:r>
          </w:p>
        </w:tc>
        <w:tc>
          <w:tcPr>
            <w:tcW w:w="4229" w:type="dxa"/>
            <w:vAlign w:val="center"/>
          </w:tcPr>
          <w:p>
            <w:pPr>
              <w:widowControl/>
              <w:spacing w:line="360" w:lineRule="exact"/>
              <w:ind w:firstLine="1200"/>
              <w:rPr>
                <w:rFonts w:ascii="宋体" w:hAnsi="宋体" w:cs="宋体"/>
                <w:szCs w:val="21"/>
              </w:rPr>
            </w:pPr>
            <w:r>
              <w:rPr>
                <w:rFonts w:hint="eastAsia" w:ascii="宋体" w:hAnsi="宋体" w:cs="宋体"/>
                <w:szCs w:val="21"/>
              </w:rPr>
              <w:t>质量管理体系（ISO9001）、环境管理体系（ISO14000）、职业健康安全管理体系（OHSAS18000）等认证文件，每提供一个有效的认证文件得2分，最高6分。</w:t>
            </w:r>
          </w:p>
        </w:tc>
        <w:tc>
          <w:tcPr>
            <w:tcW w:w="2002" w:type="dxa"/>
            <w:vAlign w:val="center"/>
          </w:tcPr>
          <w:p>
            <w:pPr>
              <w:jc w:val="both"/>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vAlign w:val="center"/>
          </w:tcPr>
          <w:p>
            <w:pPr>
              <w:widowControl/>
              <w:ind w:firstLine="1200"/>
              <w:jc w:val="center"/>
              <w:rPr>
                <w:rFonts w:ascii="宋体" w:hAnsi="宋体"/>
                <w:kern w:val="0"/>
                <w:szCs w:val="21"/>
              </w:rPr>
            </w:pPr>
            <w:r>
              <w:rPr>
                <w:rFonts w:hint="eastAsia" w:ascii="宋体" w:hAnsi="宋体"/>
                <w:kern w:val="0"/>
                <w:szCs w:val="21"/>
              </w:rPr>
              <w:t>3</w:t>
            </w:r>
            <w:r>
              <w:rPr>
                <w:rFonts w:ascii="宋体" w:hAnsi="宋体"/>
                <w:kern w:val="0"/>
                <w:szCs w:val="21"/>
              </w:rPr>
              <w:t>3</w:t>
            </w:r>
          </w:p>
        </w:tc>
        <w:tc>
          <w:tcPr>
            <w:tcW w:w="1128" w:type="dxa"/>
            <w:vMerge w:val="restart"/>
            <w:vAlign w:val="center"/>
          </w:tcPr>
          <w:p>
            <w:pPr>
              <w:widowControl/>
              <w:ind w:firstLine="1200"/>
              <w:jc w:val="center"/>
              <w:rPr>
                <w:rFonts w:ascii="宋体" w:hAnsi="宋体"/>
                <w:kern w:val="0"/>
                <w:szCs w:val="21"/>
              </w:rPr>
            </w:pPr>
            <w:r>
              <w:rPr>
                <w:rFonts w:hint="eastAsia" w:ascii="宋体" w:hAnsi="宋体"/>
                <w:kern w:val="0"/>
                <w:szCs w:val="21"/>
              </w:rPr>
              <w:t>技技术部分</w:t>
            </w:r>
          </w:p>
        </w:tc>
        <w:tc>
          <w:tcPr>
            <w:tcW w:w="1897" w:type="dxa"/>
            <w:vAlign w:val="center"/>
          </w:tcPr>
          <w:p>
            <w:pPr>
              <w:widowControl/>
              <w:rPr>
                <w:rFonts w:ascii="宋体" w:hAnsi="宋体"/>
                <w:kern w:val="0"/>
                <w:szCs w:val="21"/>
              </w:rPr>
            </w:pPr>
            <w:r>
              <w:rPr>
                <w:rFonts w:hint="eastAsia" w:ascii="宋体" w:hAnsi="宋体"/>
                <w:kern w:val="0"/>
                <w:szCs w:val="21"/>
              </w:rPr>
              <w:t>整体方案</w:t>
            </w:r>
          </w:p>
        </w:tc>
        <w:tc>
          <w:tcPr>
            <w:tcW w:w="4229" w:type="dxa"/>
            <w:vAlign w:val="center"/>
          </w:tcPr>
          <w:p>
            <w:pPr>
              <w:ind w:firstLine="1200"/>
              <w:rPr>
                <w:rFonts w:ascii="宋体" w:hAnsi="宋体"/>
                <w:szCs w:val="21"/>
              </w:rPr>
            </w:pPr>
            <w:r>
              <w:rPr>
                <w:rFonts w:hint="eastAsia" w:ascii="宋体" w:hAnsi="宋体"/>
                <w:szCs w:val="21"/>
              </w:rPr>
              <w:t>依据本项目实际情况及特点，投标人提供的材料满足如下要求：</w:t>
            </w:r>
          </w:p>
          <w:p>
            <w:pPr>
              <w:pStyle w:val="82"/>
              <w:numPr>
                <w:ilvl w:val="0"/>
                <w:numId w:val="3"/>
              </w:numPr>
              <w:ind w:firstLineChars="0"/>
              <w:rPr>
                <w:rFonts w:ascii="宋体" w:hAnsi="宋体"/>
                <w:szCs w:val="21"/>
              </w:rPr>
            </w:pPr>
            <w:r>
              <w:rPr>
                <w:rFonts w:hint="eastAsia" w:ascii="宋体" w:hAnsi="宋体"/>
                <w:szCs w:val="21"/>
              </w:rPr>
              <w:t>方案合理、严谨，有针对性；严格响应甲方技术标要求，不漏项；有现场执行团队及企业内部管理制度；服务方案中操作标准明确，</w:t>
            </w:r>
            <w:r>
              <w:rPr>
                <w:rFonts w:hint="eastAsia" w:ascii="宋体" w:hAnsi="宋体" w:cs="宋体"/>
                <w:color w:val="000000"/>
                <w:kern w:val="0"/>
                <w:szCs w:val="21"/>
              </w:rPr>
              <w:t>清晰、详细</w:t>
            </w:r>
            <w:r>
              <w:rPr>
                <w:rFonts w:hint="eastAsia" w:ascii="宋体" w:hAnsi="宋体"/>
                <w:szCs w:val="21"/>
              </w:rPr>
              <w:t>，完全满足甲方的要求的，得15＜X≤20分</w:t>
            </w:r>
          </w:p>
          <w:p>
            <w:pPr>
              <w:pStyle w:val="82"/>
              <w:numPr>
                <w:ilvl w:val="0"/>
                <w:numId w:val="3"/>
              </w:numPr>
              <w:ind w:firstLineChars="0"/>
              <w:rPr>
                <w:rFonts w:ascii="宋体" w:hAnsi="宋体"/>
                <w:szCs w:val="21"/>
              </w:rPr>
            </w:pPr>
            <w:r>
              <w:rPr>
                <w:rFonts w:hint="eastAsia" w:ascii="宋体" w:hAnsi="宋体"/>
                <w:szCs w:val="21"/>
              </w:rPr>
              <w:t>方案满足采购需求且较好的，得10＜X≤15分</w:t>
            </w:r>
          </w:p>
          <w:p>
            <w:pPr>
              <w:pStyle w:val="82"/>
              <w:numPr>
                <w:ilvl w:val="0"/>
                <w:numId w:val="3"/>
              </w:numPr>
              <w:ind w:firstLineChars="0"/>
              <w:rPr>
                <w:rFonts w:ascii="宋体" w:hAnsi="宋体"/>
                <w:szCs w:val="21"/>
              </w:rPr>
            </w:pPr>
            <w:r>
              <w:rPr>
                <w:rFonts w:hint="eastAsia" w:ascii="宋体" w:hAnsi="宋体"/>
                <w:szCs w:val="21"/>
              </w:rPr>
              <w:t>方案不能完全满足采购需求且方案一般的，得1＜X≤10分</w:t>
            </w:r>
          </w:p>
          <w:p>
            <w:pPr>
              <w:pStyle w:val="82"/>
              <w:numPr>
                <w:ilvl w:val="0"/>
                <w:numId w:val="3"/>
              </w:numPr>
              <w:ind w:firstLineChars="0"/>
              <w:rPr>
                <w:rFonts w:hint="eastAsia" w:ascii="宋体" w:hAnsi="宋体"/>
                <w:szCs w:val="21"/>
              </w:rPr>
            </w:pPr>
            <w:r>
              <w:rPr>
                <w:rFonts w:hint="eastAsia" w:ascii="宋体" w:hAnsi="宋体"/>
                <w:szCs w:val="21"/>
              </w:rPr>
              <w:t>没有方案的不得分</w:t>
            </w:r>
          </w:p>
        </w:tc>
        <w:tc>
          <w:tcPr>
            <w:tcW w:w="2002" w:type="dxa"/>
            <w:vAlign w:val="center"/>
          </w:tcPr>
          <w:p>
            <w:pPr>
              <w:jc w:val="both"/>
              <w:rPr>
                <w:rFonts w:hint="eastAsia"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vAlign w:val="center"/>
          </w:tcPr>
          <w:p>
            <w:pPr>
              <w:widowControl/>
              <w:ind w:firstLine="1200"/>
              <w:jc w:val="center"/>
              <w:rPr>
                <w:rFonts w:ascii="宋体" w:hAnsi="宋体"/>
                <w:kern w:val="0"/>
                <w:szCs w:val="21"/>
              </w:rPr>
            </w:pPr>
            <w:r>
              <w:rPr>
                <w:rFonts w:hint="eastAsia" w:ascii="宋体" w:hAnsi="宋体"/>
                <w:kern w:val="0"/>
                <w:szCs w:val="21"/>
              </w:rPr>
              <w:t>4</w:t>
            </w:r>
            <w:r>
              <w:rPr>
                <w:rFonts w:ascii="宋体" w:hAnsi="宋体"/>
                <w:kern w:val="0"/>
                <w:szCs w:val="21"/>
              </w:rPr>
              <w:t>4</w:t>
            </w:r>
          </w:p>
        </w:tc>
        <w:tc>
          <w:tcPr>
            <w:tcW w:w="1128" w:type="dxa"/>
            <w:vMerge w:val="continue"/>
            <w:vAlign w:val="center"/>
          </w:tcPr>
          <w:p>
            <w:pPr>
              <w:ind w:firstLine="1200"/>
              <w:jc w:val="center"/>
              <w:rPr>
                <w:rFonts w:ascii="宋体" w:hAnsi="宋体"/>
                <w:kern w:val="0"/>
                <w:szCs w:val="21"/>
              </w:rPr>
            </w:pPr>
          </w:p>
        </w:tc>
        <w:tc>
          <w:tcPr>
            <w:tcW w:w="1897" w:type="dxa"/>
            <w:vAlign w:val="center"/>
          </w:tcPr>
          <w:p>
            <w:pPr>
              <w:rPr>
                <w:rFonts w:ascii="宋体" w:hAnsi="宋体"/>
                <w:kern w:val="0"/>
                <w:szCs w:val="21"/>
              </w:rPr>
            </w:pPr>
            <w:r>
              <w:rPr>
                <w:rFonts w:hint="eastAsia" w:ascii="宋体" w:hAnsi="宋体"/>
                <w:kern w:val="0"/>
                <w:szCs w:val="21"/>
              </w:rPr>
              <w:t>增值服务</w:t>
            </w:r>
          </w:p>
        </w:tc>
        <w:tc>
          <w:tcPr>
            <w:tcW w:w="4229" w:type="dxa"/>
            <w:vAlign w:val="center"/>
          </w:tcPr>
          <w:p>
            <w:pPr>
              <w:pStyle w:val="82"/>
              <w:numPr>
                <w:ilvl w:val="0"/>
                <w:numId w:val="4"/>
              </w:numPr>
              <w:ind w:firstLineChars="0"/>
              <w:rPr>
                <w:rFonts w:ascii="宋体" w:hAnsi="宋体"/>
                <w:szCs w:val="21"/>
              </w:rPr>
            </w:pPr>
            <w:r>
              <w:rPr>
                <w:rFonts w:hint="eastAsia" w:ascii="宋体" w:hAnsi="宋体"/>
                <w:szCs w:val="21"/>
              </w:rPr>
              <w:t>有明确且可操作的增值服务，能够更好满足项目需求的，得5＜X≤10分</w:t>
            </w:r>
          </w:p>
          <w:p>
            <w:pPr>
              <w:pStyle w:val="82"/>
              <w:numPr>
                <w:ilvl w:val="0"/>
                <w:numId w:val="4"/>
              </w:numPr>
              <w:ind w:firstLineChars="0"/>
              <w:rPr>
                <w:rFonts w:ascii="宋体" w:hAnsi="宋体"/>
                <w:szCs w:val="21"/>
              </w:rPr>
            </w:pPr>
            <w:r>
              <w:rPr>
                <w:rFonts w:hint="eastAsia" w:ascii="宋体" w:hAnsi="宋体"/>
                <w:szCs w:val="21"/>
              </w:rPr>
              <w:t>提供增值服务但不明确，没有匹配项目需求的，得1＜X≤5分</w:t>
            </w:r>
          </w:p>
          <w:p>
            <w:pPr>
              <w:pStyle w:val="82"/>
              <w:numPr>
                <w:ilvl w:val="0"/>
                <w:numId w:val="4"/>
              </w:numPr>
              <w:ind w:firstLineChars="0"/>
              <w:rPr>
                <w:rFonts w:ascii="宋体" w:hAnsi="宋体"/>
                <w:szCs w:val="21"/>
              </w:rPr>
            </w:pPr>
            <w:r>
              <w:rPr>
                <w:rFonts w:hint="eastAsia" w:ascii="宋体" w:hAnsi="宋体"/>
                <w:szCs w:val="21"/>
              </w:rPr>
              <w:t>没有增值服务不得分</w:t>
            </w:r>
          </w:p>
        </w:tc>
        <w:tc>
          <w:tcPr>
            <w:tcW w:w="2002" w:type="dxa"/>
            <w:vAlign w:val="center"/>
          </w:tcPr>
          <w:p>
            <w:pPr>
              <w:jc w:val="both"/>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vAlign w:val="center"/>
          </w:tcPr>
          <w:p>
            <w:pPr>
              <w:widowControl/>
              <w:ind w:firstLine="1200"/>
              <w:jc w:val="center"/>
              <w:rPr>
                <w:rFonts w:ascii="宋体" w:hAnsi="宋体"/>
                <w:kern w:val="0"/>
                <w:szCs w:val="21"/>
              </w:rPr>
            </w:pPr>
            <w:r>
              <w:rPr>
                <w:rFonts w:hint="eastAsia" w:ascii="宋体" w:hAnsi="宋体"/>
                <w:kern w:val="0"/>
                <w:szCs w:val="21"/>
              </w:rPr>
              <w:t>5</w:t>
            </w:r>
            <w:r>
              <w:rPr>
                <w:rFonts w:ascii="宋体" w:hAnsi="宋体"/>
                <w:kern w:val="0"/>
                <w:szCs w:val="21"/>
              </w:rPr>
              <w:t>6</w:t>
            </w:r>
          </w:p>
        </w:tc>
        <w:tc>
          <w:tcPr>
            <w:tcW w:w="1128" w:type="dxa"/>
            <w:vMerge w:val="continue"/>
            <w:vAlign w:val="center"/>
          </w:tcPr>
          <w:p>
            <w:pPr>
              <w:ind w:firstLine="1200"/>
              <w:jc w:val="center"/>
              <w:rPr>
                <w:rFonts w:ascii="宋体" w:hAnsi="宋体"/>
                <w:kern w:val="0"/>
                <w:szCs w:val="21"/>
              </w:rPr>
            </w:pPr>
          </w:p>
        </w:tc>
        <w:tc>
          <w:tcPr>
            <w:tcW w:w="1897" w:type="dxa"/>
            <w:vAlign w:val="center"/>
          </w:tcPr>
          <w:p>
            <w:pPr>
              <w:rPr>
                <w:rFonts w:ascii="宋体" w:hAnsi="宋体"/>
                <w:kern w:val="0"/>
                <w:szCs w:val="21"/>
              </w:rPr>
            </w:pPr>
            <w:r>
              <w:rPr>
                <w:rFonts w:hint="eastAsia" w:ascii="宋体" w:hAnsi="宋体"/>
                <w:kern w:val="0"/>
                <w:szCs w:val="21"/>
              </w:rPr>
              <w:t>突发响应及安全保障</w:t>
            </w:r>
          </w:p>
        </w:tc>
        <w:tc>
          <w:tcPr>
            <w:tcW w:w="4229" w:type="dxa"/>
            <w:vAlign w:val="center"/>
          </w:tcPr>
          <w:p>
            <w:pPr>
              <w:pStyle w:val="82"/>
              <w:numPr>
                <w:ilvl w:val="0"/>
                <w:numId w:val="5"/>
              </w:numPr>
              <w:ind w:firstLineChars="0"/>
              <w:rPr>
                <w:rFonts w:ascii="宋体" w:hAnsi="宋体"/>
                <w:szCs w:val="21"/>
              </w:rPr>
            </w:pPr>
            <w:r>
              <w:rPr>
                <w:rFonts w:hint="eastAsia" w:ascii="宋体" w:hAnsi="宋体"/>
                <w:kern w:val="0"/>
                <w:szCs w:val="21"/>
              </w:rPr>
              <w:t>具备响应甲方对乙方作业人员、设备、工期调整等突发事件的处理能力；</w:t>
            </w:r>
            <w:r>
              <w:rPr>
                <w:rFonts w:hint="eastAsia" w:ascii="宋体" w:hAnsi="宋体"/>
                <w:szCs w:val="21"/>
              </w:rPr>
              <w:t>具备完善突发事件应急预案，并对员工定期培训；有专门的安全保障措施、安全控制体系；有专业的安全保障设施的，得10＜X≤15分</w:t>
            </w:r>
          </w:p>
          <w:p>
            <w:pPr>
              <w:pStyle w:val="82"/>
              <w:numPr>
                <w:ilvl w:val="0"/>
                <w:numId w:val="5"/>
              </w:numPr>
              <w:ind w:firstLineChars="0"/>
              <w:rPr>
                <w:rFonts w:ascii="宋体" w:hAnsi="宋体"/>
                <w:szCs w:val="21"/>
              </w:rPr>
            </w:pPr>
            <w:r>
              <w:rPr>
                <w:rFonts w:hint="eastAsia" w:ascii="宋体" w:hAnsi="宋体"/>
                <w:szCs w:val="21"/>
              </w:rPr>
              <w:t>方案满足采购需求且较好的，得5＜X≤10分。</w:t>
            </w:r>
          </w:p>
          <w:p>
            <w:pPr>
              <w:pStyle w:val="82"/>
              <w:numPr>
                <w:ilvl w:val="0"/>
                <w:numId w:val="5"/>
              </w:numPr>
              <w:ind w:firstLineChars="0"/>
              <w:rPr>
                <w:rFonts w:hint="eastAsia" w:ascii="宋体" w:hAnsi="宋体"/>
                <w:szCs w:val="21"/>
              </w:rPr>
            </w:pPr>
            <w:r>
              <w:rPr>
                <w:rFonts w:hint="eastAsia" w:ascii="宋体" w:hAnsi="宋体"/>
                <w:szCs w:val="21"/>
              </w:rPr>
              <w:t>方案不能完全满足采购需求且方案一般的，得1＜X≤5分</w:t>
            </w:r>
          </w:p>
          <w:p>
            <w:pPr>
              <w:pStyle w:val="82"/>
              <w:numPr>
                <w:ilvl w:val="0"/>
                <w:numId w:val="5"/>
              </w:numPr>
              <w:ind w:firstLineChars="0"/>
              <w:rPr>
                <w:rFonts w:ascii="宋体" w:hAnsi="宋体"/>
                <w:szCs w:val="21"/>
              </w:rPr>
            </w:pPr>
            <w:r>
              <w:rPr>
                <w:rFonts w:hint="eastAsia" w:ascii="宋体" w:hAnsi="宋体"/>
                <w:szCs w:val="21"/>
              </w:rPr>
              <w:t>没有方案不得分。</w:t>
            </w:r>
          </w:p>
        </w:tc>
        <w:tc>
          <w:tcPr>
            <w:tcW w:w="2002" w:type="dxa"/>
            <w:vAlign w:val="center"/>
          </w:tcPr>
          <w:p>
            <w:pPr>
              <w:jc w:val="both"/>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vAlign w:val="center"/>
          </w:tcPr>
          <w:p>
            <w:pPr>
              <w:widowControl/>
              <w:ind w:firstLine="1200"/>
              <w:jc w:val="center"/>
              <w:rPr>
                <w:rFonts w:ascii="宋体" w:hAnsi="宋体"/>
                <w:kern w:val="0"/>
                <w:szCs w:val="21"/>
              </w:rPr>
            </w:pPr>
            <w:r>
              <w:rPr>
                <w:rFonts w:hint="eastAsia" w:ascii="宋体" w:hAnsi="宋体"/>
                <w:kern w:val="0"/>
                <w:szCs w:val="21"/>
              </w:rPr>
              <w:t>6</w:t>
            </w:r>
            <w:r>
              <w:rPr>
                <w:rFonts w:ascii="宋体" w:hAnsi="宋体"/>
                <w:kern w:val="0"/>
                <w:szCs w:val="21"/>
              </w:rPr>
              <w:t>7</w:t>
            </w:r>
          </w:p>
        </w:tc>
        <w:tc>
          <w:tcPr>
            <w:tcW w:w="1128" w:type="dxa"/>
            <w:vMerge w:val="continue"/>
            <w:vAlign w:val="center"/>
          </w:tcPr>
          <w:p>
            <w:pPr>
              <w:ind w:firstLine="1200"/>
              <w:jc w:val="center"/>
              <w:rPr>
                <w:rFonts w:ascii="宋体" w:hAnsi="宋体"/>
                <w:kern w:val="0"/>
                <w:szCs w:val="21"/>
              </w:rPr>
            </w:pPr>
          </w:p>
        </w:tc>
        <w:tc>
          <w:tcPr>
            <w:tcW w:w="1897" w:type="dxa"/>
            <w:vAlign w:val="center"/>
          </w:tcPr>
          <w:p>
            <w:pPr>
              <w:rPr>
                <w:rFonts w:ascii="宋体" w:hAnsi="宋体"/>
                <w:kern w:val="0"/>
                <w:szCs w:val="21"/>
              </w:rPr>
            </w:pPr>
            <w:r>
              <w:rPr>
                <w:rFonts w:hint="eastAsia" w:ascii="宋体" w:hAnsi="宋体"/>
                <w:kern w:val="0"/>
                <w:szCs w:val="21"/>
              </w:rPr>
              <w:t>人员培训及考核机制</w:t>
            </w:r>
          </w:p>
        </w:tc>
        <w:tc>
          <w:tcPr>
            <w:tcW w:w="4229" w:type="dxa"/>
            <w:vAlign w:val="center"/>
          </w:tcPr>
          <w:p>
            <w:pPr>
              <w:pStyle w:val="82"/>
              <w:numPr>
                <w:ilvl w:val="0"/>
                <w:numId w:val="6"/>
              </w:numPr>
              <w:ind w:firstLineChars="0"/>
              <w:rPr>
                <w:rFonts w:ascii="宋体" w:hAnsi="宋体"/>
                <w:szCs w:val="21"/>
              </w:rPr>
            </w:pPr>
            <w:r>
              <w:rPr>
                <w:rFonts w:hint="eastAsia" w:ascii="宋体" w:hAnsi="宋体"/>
                <w:szCs w:val="21"/>
              </w:rPr>
              <w:t>人员配置完全符合甲方要求，包括年龄、性别、经历等；培训体系完善；具有完善的竞争考核管理机制，满足本项目考核要求的，得5＜X≤9分</w:t>
            </w:r>
          </w:p>
          <w:p>
            <w:pPr>
              <w:pStyle w:val="82"/>
              <w:numPr>
                <w:ilvl w:val="0"/>
                <w:numId w:val="6"/>
              </w:numPr>
              <w:ind w:firstLineChars="0"/>
              <w:rPr>
                <w:rFonts w:hint="eastAsia" w:ascii="宋体" w:hAnsi="宋体"/>
                <w:szCs w:val="21"/>
              </w:rPr>
            </w:pPr>
            <w:r>
              <w:rPr>
                <w:rFonts w:hint="eastAsia" w:ascii="宋体" w:hAnsi="宋体"/>
                <w:szCs w:val="21"/>
              </w:rPr>
              <w:t>方案满足采购需求且较好的，得2＜X≤5分。</w:t>
            </w:r>
          </w:p>
          <w:p>
            <w:pPr>
              <w:pStyle w:val="82"/>
              <w:numPr>
                <w:ilvl w:val="0"/>
                <w:numId w:val="6"/>
              </w:numPr>
              <w:ind w:firstLineChars="0"/>
              <w:rPr>
                <w:rFonts w:ascii="宋体" w:hAnsi="宋体"/>
                <w:szCs w:val="21"/>
              </w:rPr>
            </w:pPr>
            <w:r>
              <w:rPr>
                <w:rFonts w:hint="eastAsia" w:ascii="宋体" w:hAnsi="宋体"/>
                <w:szCs w:val="21"/>
              </w:rPr>
              <w:t>方案不能完全满足采购需求且方案一般的，得1＜X≤2分</w:t>
            </w:r>
          </w:p>
          <w:p>
            <w:pPr>
              <w:pStyle w:val="82"/>
              <w:numPr>
                <w:ilvl w:val="0"/>
                <w:numId w:val="6"/>
              </w:numPr>
              <w:ind w:firstLineChars="0"/>
              <w:rPr>
                <w:rFonts w:hint="eastAsia" w:ascii="宋体" w:hAnsi="宋体"/>
                <w:szCs w:val="21"/>
              </w:rPr>
            </w:pPr>
            <w:r>
              <w:rPr>
                <w:rFonts w:hint="eastAsia" w:ascii="宋体" w:hAnsi="宋体"/>
                <w:szCs w:val="21"/>
              </w:rPr>
              <w:t>没有方案不得分</w:t>
            </w:r>
          </w:p>
        </w:tc>
        <w:tc>
          <w:tcPr>
            <w:tcW w:w="2002" w:type="dxa"/>
            <w:vAlign w:val="center"/>
          </w:tcPr>
          <w:p>
            <w:pPr>
              <w:jc w:val="both"/>
              <w:rPr>
                <w:rFonts w:hint="eastAsia" w:ascii="宋体" w:hAnsi="宋体"/>
                <w:szCs w:val="21"/>
              </w:rPr>
            </w:pPr>
            <w:r>
              <w:rPr>
                <w:rFonts w:hint="eastAsia"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14" w:type="dxa"/>
            <w:vAlign w:val="center"/>
          </w:tcPr>
          <w:p>
            <w:pPr>
              <w:widowControl/>
              <w:ind w:firstLine="1200"/>
              <w:jc w:val="center"/>
              <w:rPr>
                <w:rFonts w:ascii="宋体" w:hAnsi="宋体"/>
                <w:kern w:val="0"/>
                <w:szCs w:val="21"/>
              </w:rPr>
            </w:pPr>
            <w:r>
              <w:rPr>
                <w:rFonts w:ascii="宋体" w:hAnsi="宋体"/>
                <w:kern w:val="0"/>
                <w:szCs w:val="21"/>
              </w:rPr>
              <w:t>8</w:t>
            </w:r>
          </w:p>
        </w:tc>
        <w:tc>
          <w:tcPr>
            <w:tcW w:w="1128" w:type="dxa"/>
            <w:vAlign w:val="center"/>
          </w:tcPr>
          <w:p>
            <w:pPr>
              <w:widowControl/>
              <w:ind w:firstLine="1200"/>
              <w:jc w:val="center"/>
              <w:rPr>
                <w:rFonts w:ascii="宋体" w:hAnsi="宋体"/>
                <w:kern w:val="0"/>
                <w:szCs w:val="21"/>
              </w:rPr>
            </w:pPr>
          </w:p>
        </w:tc>
        <w:tc>
          <w:tcPr>
            <w:tcW w:w="6126" w:type="dxa"/>
            <w:gridSpan w:val="2"/>
            <w:vAlign w:val="center"/>
          </w:tcPr>
          <w:p>
            <w:pPr>
              <w:widowControl/>
              <w:ind w:firstLine="1200"/>
              <w:jc w:val="center"/>
              <w:rPr>
                <w:rFonts w:ascii="宋体" w:hAnsi="宋体"/>
                <w:kern w:val="0"/>
                <w:szCs w:val="21"/>
              </w:rPr>
            </w:pPr>
            <w:r>
              <w:rPr>
                <w:rFonts w:hint="eastAsia" w:ascii="宋体" w:hAnsi="宋体"/>
                <w:kern w:val="0"/>
                <w:szCs w:val="21"/>
              </w:rPr>
              <w:t>评定分值（1-</w:t>
            </w:r>
            <w:r>
              <w:rPr>
                <w:rFonts w:ascii="宋体" w:hAnsi="宋体"/>
                <w:kern w:val="0"/>
                <w:szCs w:val="21"/>
              </w:rPr>
              <w:t>7</w:t>
            </w:r>
            <w:r>
              <w:rPr>
                <w:rFonts w:hint="eastAsia" w:ascii="宋体" w:hAnsi="宋体"/>
                <w:kern w:val="0"/>
                <w:szCs w:val="21"/>
              </w:rPr>
              <w:t>项之和）</w:t>
            </w:r>
          </w:p>
        </w:tc>
        <w:tc>
          <w:tcPr>
            <w:tcW w:w="2002" w:type="dxa"/>
            <w:vAlign w:val="center"/>
          </w:tcPr>
          <w:p>
            <w:pPr>
              <w:widowControl/>
              <w:jc w:val="both"/>
              <w:rPr>
                <w:rFonts w:ascii="宋体" w:hAnsi="宋体"/>
                <w:kern w:val="0"/>
                <w:szCs w:val="21"/>
              </w:rPr>
            </w:pPr>
            <w:r>
              <w:rPr>
                <w:rFonts w:hint="eastAsia" w:ascii="宋体" w:hAnsi="宋体"/>
                <w:kern w:val="0"/>
                <w:szCs w:val="21"/>
              </w:rPr>
              <w:t>75</w:t>
            </w:r>
          </w:p>
        </w:tc>
      </w:tr>
    </w:tbl>
    <w:p>
      <w:pPr>
        <w:ind w:firstLine="1200"/>
      </w:pPr>
    </w:p>
    <w:p>
      <w:pPr>
        <w:ind w:firstLine="1200"/>
        <w:sectPr>
          <w:pgSz w:w="11906" w:h="16838"/>
          <w:pgMar w:top="1440" w:right="1800" w:bottom="1440" w:left="1800" w:header="851" w:footer="992" w:gutter="0"/>
          <w:cols w:space="425" w:num="1"/>
          <w:docGrid w:type="lines" w:linePitch="312" w:charSpace="0"/>
        </w:sectPr>
      </w:pPr>
    </w:p>
    <w:p>
      <w:pPr>
        <w:pStyle w:val="2"/>
        <w:jc w:val="center"/>
        <w:rPr>
          <w:sz w:val="36"/>
        </w:rPr>
      </w:pPr>
      <w:r>
        <w:rPr>
          <w:rFonts w:hint="eastAsia"/>
          <w:sz w:val="36"/>
        </w:rPr>
        <w:t>第四部分 采购合同</w:t>
      </w:r>
      <w:bookmarkEnd w:id="153"/>
      <w:bookmarkEnd w:id="154"/>
      <w:bookmarkStart w:id="155" w:name="_Toc497214043"/>
      <w:bookmarkStart w:id="156" w:name="_Toc485323148"/>
      <w:bookmarkStart w:id="157" w:name="_Toc486580374"/>
      <w:bookmarkStart w:id="158" w:name="_Toc4433128"/>
      <w:bookmarkStart w:id="159" w:name="_Toc509058156"/>
      <w:bookmarkStart w:id="160" w:name="_Toc489280180"/>
      <w:bookmarkStart w:id="161" w:name="_Toc17519"/>
      <w:bookmarkStart w:id="162" w:name="_Toc490331665"/>
    </w:p>
    <w:bookmarkEnd w:id="155"/>
    <w:bookmarkEnd w:id="156"/>
    <w:bookmarkEnd w:id="157"/>
    <w:bookmarkEnd w:id="158"/>
    <w:bookmarkEnd w:id="159"/>
    <w:bookmarkEnd w:id="160"/>
    <w:bookmarkEnd w:id="161"/>
    <w:bookmarkEnd w:id="162"/>
    <w:p>
      <w:pPr>
        <w:jc w:val="center"/>
        <w:rPr>
          <w:rFonts w:ascii="宋体" w:hAnsi="宋体"/>
          <w:sz w:val="28"/>
          <w:szCs w:val="28"/>
        </w:rPr>
      </w:pPr>
      <w:bookmarkStart w:id="163" w:name="_Toc42114262"/>
      <w:bookmarkStart w:id="164" w:name="_Toc399759382"/>
      <w:bookmarkStart w:id="165" w:name="_Toc534270429"/>
      <w:bookmarkStart w:id="166" w:name="_Toc107564360"/>
      <w:bookmarkStart w:id="167" w:name="_Toc148939725"/>
      <w:r>
        <w:rPr>
          <w:rFonts w:hint="eastAsia" w:ascii="宋体" w:hAnsi="宋体"/>
          <w:sz w:val="28"/>
          <w:szCs w:val="28"/>
        </w:rPr>
        <w:t>北京纳米能源与系统研究所</w:t>
      </w:r>
    </w:p>
    <w:p>
      <w:pPr>
        <w:jc w:val="center"/>
        <w:rPr>
          <w:rFonts w:ascii="宋体" w:hAnsi="宋体"/>
          <w:sz w:val="28"/>
          <w:szCs w:val="28"/>
        </w:rPr>
      </w:pPr>
      <w:r>
        <w:rPr>
          <w:rFonts w:hint="eastAsia" w:ascii="宋体" w:hAnsi="宋体"/>
          <w:sz w:val="28"/>
          <w:szCs w:val="28"/>
        </w:rPr>
        <w:t>2024年空调系统维护保养合同</w:t>
      </w:r>
    </w:p>
    <w:p>
      <w:pPr>
        <w:spacing w:line="360" w:lineRule="auto"/>
        <w:ind w:firstLine="1200"/>
        <w:jc w:val="center"/>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北京纳米能源与系统研究所（买方，甲方）2024年空调制冷系统维保服务采购项目。根据中标通知书及招标文件（第四部分技术需求）的约定，买卖双方同意按照下面的条款和条件，签订2024年度空调系统维护保养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一、合同文件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下列文件构成本合同的组成部分，应该认为是一个整体，彼此相互解释，相互补充。为便于解释，组成合同的多个文件的优先次序如下：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1、本合同书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二、合同总价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1、合同总金额为人民币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），含税。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2、本合同价格包含了所有相关的空调维护保养费用和有关税费，除此之外甲方不在向乙方支付其他费用。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3、合同服务项目及价格详见附件服务明细表。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三、付款方式</w:t>
      </w:r>
    </w:p>
    <w:p>
      <w:pPr>
        <w:keepNext w:val="0"/>
        <w:keepLines w:val="0"/>
        <w:pageBreakBefore w:val="0"/>
        <w:widowControl/>
        <w:shd w:val="clear" w:color="auto" w:fill="FFFFFF"/>
        <w:tabs>
          <w:tab w:val="left" w:pos="4500"/>
        </w:tabs>
        <w:kinsoku/>
        <w:wordWrap/>
        <w:overflowPunct/>
        <w:topLinePunct w:val="0"/>
        <w:autoSpaceDE/>
        <w:autoSpaceDN/>
        <w:bidi w:val="0"/>
        <w:adjustRightInd/>
        <w:snapToGrid w:val="0"/>
        <w:spacing w:after="150" w:line="360" w:lineRule="auto"/>
        <w:ind w:right="-340" w:rightChars="-162" w:firstLine="480" w:firstLineChars="200"/>
        <w:jc w:val="left"/>
        <w:textAlignment w:val="auto"/>
        <w:rPr>
          <w:rFonts w:ascii="宋体" w:hAnsi="宋体" w:cs="Arial"/>
          <w:kern w:val="0"/>
          <w:sz w:val="24"/>
        </w:rPr>
      </w:pPr>
      <w:r>
        <w:rPr>
          <w:rFonts w:hint="eastAsia" w:ascii="宋体" w:hAnsi="宋体" w:cs="Arial"/>
          <w:kern w:val="0"/>
          <w:sz w:val="24"/>
        </w:rPr>
        <w:t>1、本维保合同的总费用共计人民币小写</w:t>
      </w:r>
      <w:r>
        <w:rPr>
          <w:rFonts w:hint="eastAsia" w:ascii="宋体" w:hAnsi="宋体"/>
          <w:sz w:val="24"/>
          <w:u w:val="single"/>
        </w:rPr>
        <w:t xml:space="preserve">        元整（大写:      ）</w:t>
      </w:r>
      <w:r>
        <w:rPr>
          <w:rFonts w:hint="eastAsia" w:ascii="宋体" w:hAnsi="宋体" w:cs="Arial"/>
          <w:kern w:val="0"/>
          <w:sz w:val="24"/>
        </w:rPr>
        <w:t>。</w:t>
      </w:r>
    </w:p>
    <w:p>
      <w:pPr>
        <w:widowControl/>
        <w:shd w:val="clear" w:color="auto" w:fill="FFFFFF"/>
        <w:tabs>
          <w:tab w:val="left" w:pos="4500"/>
        </w:tabs>
        <w:snapToGrid w:val="0"/>
        <w:spacing w:after="150" w:line="360" w:lineRule="auto"/>
        <w:ind w:left="-283" w:leftChars="-135" w:right="-340" w:rightChars="-162" w:firstLine="720" w:firstLineChars="300"/>
        <w:jc w:val="left"/>
        <w:rPr>
          <w:rFonts w:ascii="宋体" w:hAnsi="宋体" w:cs="Arial"/>
          <w:kern w:val="0"/>
          <w:sz w:val="24"/>
          <w:highlight w:val="yellow"/>
        </w:rPr>
      </w:pPr>
      <w:r>
        <w:rPr>
          <w:rFonts w:hint="eastAsia" w:ascii="宋体" w:hAnsi="宋体" w:cs="Arial"/>
          <w:kern w:val="0"/>
          <w:sz w:val="24"/>
          <w:highlight w:val="yellow"/>
        </w:rPr>
        <w:t>2、乙方完成月度、季度、半年度维保服务，提交服务报告，经甲方审核确认后，甲方在30日内向乙方支付合同总价的50﹪ 即人民币小写     元整（大写：     ）。</w:t>
      </w:r>
    </w:p>
    <w:p>
      <w:pPr>
        <w:widowControl/>
        <w:shd w:val="clear" w:color="auto" w:fill="FFFFFF"/>
        <w:tabs>
          <w:tab w:val="left" w:pos="4500"/>
        </w:tabs>
        <w:snapToGrid w:val="0"/>
        <w:spacing w:line="360" w:lineRule="auto"/>
        <w:ind w:firstLine="480" w:firstLineChars="200"/>
        <w:rPr>
          <w:rFonts w:ascii="宋体" w:hAnsi="宋体" w:cs="Arial"/>
          <w:kern w:val="0"/>
          <w:sz w:val="24"/>
          <w:highlight w:val="yellow"/>
        </w:rPr>
      </w:pPr>
      <w:r>
        <w:rPr>
          <w:rFonts w:hint="eastAsia" w:ascii="宋体" w:hAnsi="宋体" w:cs="Arial"/>
          <w:kern w:val="0"/>
          <w:sz w:val="24"/>
          <w:highlight w:val="yellow"/>
        </w:rPr>
        <w:t>3、乙方完成月度、季度、半年度、年度维保服务，提交服务报告，经甲方审核确认后，甲方在30日内向乙方支付合同总价的50% ，即人民币小写        元整（大写:       ）。</w:t>
      </w:r>
    </w:p>
    <w:p>
      <w:pPr>
        <w:widowControl/>
        <w:shd w:val="clear" w:color="auto" w:fill="FFFFFF"/>
        <w:tabs>
          <w:tab w:val="left" w:pos="4500"/>
        </w:tabs>
        <w:snapToGrid w:val="0"/>
        <w:spacing w:line="360" w:lineRule="auto"/>
        <w:ind w:firstLine="480" w:firstLineChars="200"/>
        <w:rPr>
          <w:rFonts w:ascii="宋体" w:hAnsi="宋体" w:cs="Arial"/>
          <w:kern w:val="0"/>
          <w:sz w:val="24"/>
        </w:rPr>
      </w:pPr>
      <w:r>
        <w:rPr>
          <w:rFonts w:hint="eastAsia" w:ascii="宋体" w:hAnsi="宋体" w:cs="Arial"/>
          <w:kern w:val="0"/>
          <w:sz w:val="24"/>
        </w:rPr>
        <w:t>4、乙方按照甲方要求提供合法有效的专用发票。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四、技术服务和保修责任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1、空调维保内容详见附件服务清单。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零部件损坏更换：空调维保服务清单中规定的所需全部零部件和添加的制冷剂全部归乙方承担，甲方不承担任何费用，乙方提供的零部件全部为原厂配件并提供原厂证明，所需零部件由甲方认可后方可更换，替换下来的废旧零部件交甲方单位存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其他要求：（1）维保内容包括但不限于室内外机组表面清洁擦拭，对设备运行检查、氟压检查、故障排除，对室内外机清洗、消毒，加装制冷剂，对空调的制冷系统、控制系统、供电系统、冷冻油系统、电压、电流、温度、压力、电子膨胀阀、冷媒系统、容量控制、调试等实行全面维保，保障空调系统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（2）夏季空调制冷运行期的第一个月，乙方须派维保人员常驻现场，至少</w:t>
      </w:r>
      <w:r>
        <w:rPr>
          <w:rFonts w:ascii="宋体" w:hAnsi="宋体"/>
          <w:sz w:val="24"/>
        </w:rPr>
        <w:t>1</w:t>
      </w:r>
      <w:r>
        <w:rPr>
          <w:rFonts w:hint="eastAsia" w:ascii="宋体" w:hAnsi="宋体"/>
          <w:sz w:val="24"/>
        </w:rPr>
        <w:t>人常驻现场，工作时间为8：00-22：00。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（3）乙方对所承担的空调维保项目，维保人员要保证24小时通讯通畅，值班电话保证24小时有人接听。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（4）在工作日正常工作时间内（8:00-17:00），维保人员接到空调故障报修必须在30分钟内赶到现场及时解决故障，在其他时间（含周末节假日）接到空调故障报修必须在2小时内赶到现场解决故障。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五、双方权利义务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1、乙方应按照本合同的约定为甲方空调设备及相应的管道提供维护、保养、维修服务，使空调系统处于安全、正常的运行状态。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2、甲方在签订合同后应按期将费用付给乙方。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3、如乙方在自己的技术条件基础上无法将故障设备修复，甲方有权请第三方进行修理，所发生的费用由乙方承担。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3、乙方进行维保工作时，须遵守甲方工作秩序和工作要求。因乙方原因造成甲方财物损失，乙方应负责赔偿。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4、本合同未约定的维保事项，但属于空调系统维护保养所必须的事项，乙方应当承担维护保养的义务。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5、乙方须按专业标准进行维保工作，并对维保人员的工作安全负责。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6、乙方应每月对空调系统巡视不少于2次，对发现的问题要及时修复，并认真做好巡视记录。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7、乙方在每次维护保养后需按要求出具维护保养合格表，由甲方负责人签字确认。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8、甲方有权对乙方的月度及年度服务情况进行评分，服务态度及配合情况将根据最终评分结果，相应扣除罚金，以作惩戒。具体评分</w:t>
      </w:r>
      <w:r>
        <w:rPr>
          <w:rFonts w:hint="eastAsia" w:ascii="宋体" w:hAnsi="宋体"/>
          <w:sz w:val="24"/>
          <w:highlight w:val="yellow"/>
        </w:rPr>
        <w:t>及扣除比例见附件四评分细则。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六、违约责任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1、如甲方未按时付款，每延迟一日，应向乙方支付合同总价款0.1%的违约金。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2、乙方未按约定履行服务或者履行服务不符合约定，每发生一次，应当向甲方支付合同总价款的0.1%的违约金。乙方因前述原因给甲方造成损失的，应承担赔偿责任。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3、如遇以下情况，甲方有权单方面终止合同，不再向乙方支付维保费用，乙方应按合同总金额20%向甲方支付违约金，并赔偿甲方损失：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（1）乙方三次以上未按照合同约定履行义务；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（2）经甲方书面通知，乙方仍不履行维保或者其他义务的；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（3）经空调设备原厂监测确定，乙方提供非原厂配件的；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（4）因乙方或乙方原因给甲方或其他第三方造成损失的。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4、乙方同意，甲方有权从应付乙方尾款或者履约保证金中扣除乙方应付违约金，乙方对此无异议。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七、不可抗力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1、不可抗力指下列事件：战争、动乱、瘟疫、严重火灾、洪水、地震、风暴或其他自然灾害，以及本合同各方不可预见、不可防止并不能避免或克服的一切其他事件。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2、任何一方因不可抗力不能履行本合同规定的全部或部分义务，该方应尽快通知另一方，并须在不可抗力发生后三日内以书面形式向另一方提供详细情况报告及不可抗力对履行本合同的影响程度的说明。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4、合同各方应根据不可抗力对本合同履行的影响程度，协商确定是否终止本合同，或是继续履行本合同。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八、法律适用与争议解决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1、本合同及附件的订立、效力、解释、履行、争议的解决等适用本合同签订时有效的中华人民共和国法律、法规的有关规定。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2、合同双方应通过友好协商解决因解释、执行本合同所发生的和本合同有关的一切争议。如果经协商不能达成协议，则双方同意在甲方住所地有管辖权的人民法院诉讼解决。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3、在诉讼期间，除了必须在诉讼过程中进行解决的条款外，合同其他部分应继续履行。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九、合同终止、变更、补充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1、本合同因下列原因终止：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（1）本合同正常履行完毕；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（2）乙方未按合同约定，擅自转包或者分包的；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（3）乙方未按要求适用原厂、全新设备配件的；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（4）不可抗力导致合同无法履行的；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（5）双方协商一致终止本合同的；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（6）任何一方行使解除权，解除本合同的。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2、本合同终止，对合同终止有过错的应按照本合同约定承担违约责任，造成对方损失的还应当赔偿对方因合同终止而受到的损失。对合同终止双方均无过错的，则各自承担所受到的损失。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3、如果甲方需追加本合同相同的标的，在不改变合同其他条款的前提下，乙方可与甲方签订补充合同，但所补充的合同金额不超过本合同总价款的10%。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4、对本合同的补充必须以书面形式进行，补充合同与本合同具有同等的法律效力。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十、合同生效和合同期间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u w:val="single"/>
        </w:rPr>
      </w:pPr>
      <w:r>
        <w:rPr>
          <w:rFonts w:hint="eastAsia" w:ascii="宋体" w:hAnsi="宋体"/>
          <w:sz w:val="24"/>
        </w:rPr>
        <w:t xml:space="preserve">本合同经双方法定代表人或者授权代表签字并盖合同章后生效，有效期一年。合同起止日期为： </w:t>
      </w:r>
      <w:r>
        <w:rPr>
          <w:rFonts w:hint="eastAsia" w:ascii="宋体" w:hAnsi="宋体"/>
          <w:sz w:val="24"/>
          <w:u w:val="single"/>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十一、其他事项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1、本合同未尽事宜，按照本采购文件的有关规定、中标人的中标文件、承诺说明等文件执行。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2、本合同附件均为本合同不可分割的部分，与本合同具有同等的法律效力。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3、一方当事人未经另一方书面同意，不得将其在合同项下的权利和义务全部或部分转让给第三方。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4、本合同一式</w:t>
      </w:r>
      <w:r>
        <w:rPr>
          <w:rFonts w:ascii="宋体" w:hAnsi="宋体"/>
          <w:sz w:val="24"/>
        </w:rPr>
        <w:t>4</w:t>
      </w:r>
      <w:r>
        <w:rPr>
          <w:rFonts w:hint="eastAsia" w:ascii="宋体" w:hAnsi="宋体"/>
          <w:sz w:val="24"/>
        </w:rPr>
        <w:t>份，甲方执</w:t>
      </w:r>
      <w:r>
        <w:rPr>
          <w:rFonts w:ascii="宋体" w:hAnsi="宋体"/>
          <w:sz w:val="24"/>
        </w:rPr>
        <w:t>2</w:t>
      </w:r>
      <w:r>
        <w:rPr>
          <w:rFonts w:hint="eastAsia" w:ascii="宋体" w:hAnsi="宋体"/>
          <w:sz w:val="24"/>
        </w:rPr>
        <w:t>份，乙方执</w:t>
      </w:r>
      <w:r>
        <w:rPr>
          <w:rFonts w:ascii="宋体" w:hAnsi="宋体"/>
          <w:sz w:val="24"/>
        </w:rPr>
        <w:t>2</w:t>
      </w:r>
      <w:r>
        <w:rPr>
          <w:rFonts w:hint="eastAsia" w:ascii="宋体" w:hAnsi="宋体"/>
          <w:sz w:val="24"/>
        </w:rPr>
        <w:t>份，具有同等的法律效力。</w:t>
      </w:r>
    </w:p>
    <w:p>
      <w:pPr>
        <w:spacing w:line="360" w:lineRule="auto"/>
        <w:ind w:firstLine="1200"/>
        <w:jc w:val="left"/>
        <w:rPr>
          <w:rFonts w:ascii="宋体" w:hAnsi="宋体"/>
          <w:sz w:val="24"/>
        </w:rPr>
      </w:pPr>
    </w:p>
    <w:p>
      <w:pPr>
        <w:spacing w:line="360" w:lineRule="auto"/>
        <w:ind w:firstLine="1200"/>
        <w:jc w:val="left"/>
        <w:rPr>
          <w:rFonts w:ascii="宋体" w:hAnsi="宋体"/>
          <w:sz w:val="24"/>
        </w:rPr>
      </w:pPr>
      <w:r>
        <w:rPr>
          <w:rFonts w:hint="eastAsia" w:ascii="宋体" w:hAnsi="宋体"/>
          <w:sz w:val="24"/>
        </w:rPr>
        <w:t xml:space="preserve">甲方：北京纳米能源与系统研究所    乙方： </w:t>
      </w:r>
    </w:p>
    <w:p>
      <w:pPr>
        <w:spacing w:line="360" w:lineRule="auto"/>
        <w:ind w:firstLine="1200"/>
        <w:jc w:val="left"/>
        <w:rPr>
          <w:rFonts w:ascii="宋体" w:hAnsi="宋体"/>
          <w:sz w:val="24"/>
        </w:rPr>
      </w:pPr>
    </w:p>
    <w:p>
      <w:pPr>
        <w:spacing w:line="360" w:lineRule="auto"/>
        <w:ind w:firstLine="1200"/>
        <w:jc w:val="left"/>
        <w:rPr>
          <w:rFonts w:ascii="宋体" w:hAnsi="宋体"/>
          <w:sz w:val="24"/>
        </w:rPr>
      </w:pPr>
      <w:bookmarkStart w:id="168" w:name="_Hlk75438423"/>
      <w:r>
        <w:rPr>
          <w:rFonts w:hint="eastAsia" w:ascii="宋体" w:hAnsi="宋体"/>
          <w:sz w:val="24"/>
        </w:rPr>
        <w:t>法定代表人或授权代表：</w:t>
      </w:r>
      <w:bookmarkEnd w:id="168"/>
      <w:r>
        <w:rPr>
          <w:rFonts w:hint="eastAsia" w:ascii="宋体" w:hAnsi="宋体"/>
          <w:sz w:val="24"/>
        </w:rPr>
        <w:t xml:space="preserve">            法定代表人或授权代表：</w:t>
      </w:r>
    </w:p>
    <w:p>
      <w:pPr>
        <w:spacing w:line="360" w:lineRule="auto"/>
        <w:ind w:firstLine="1200"/>
        <w:jc w:val="left"/>
        <w:rPr>
          <w:rFonts w:ascii="宋体" w:hAnsi="宋体"/>
          <w:sz w:val="24"/>
        </w:rPr>
      </w:pPr>
    </w:p>
    <w:p>
      <w:pPr>
        <w:spacing w:line="360" w:lineRule="auto"/>
        <w:ind w:firstLine="1200"/>
        <w:jc w:val="left"/>
        <w:rPr>
          <w:rFonts w:ascii="宋体" w:hAnsi="宋体"/>
          <w:sz w:val="24"/>
        </w:rPr>
      </w:pPr>
      <w:r>
        <w:rPr>
          <w:rFonts w:hint="eastAsia" w:ascii="宋体" w:hAnsi="宋体"/>
          <w:sz w:val="24"/>
        </w:rPr>
        <w:t>日期：                             日期：</w:t>
      </w:r>
    </w:p>
    <w:p>
      <w:pPr>
        <w:ind w:firstLine="1400"/>
        <w:jc w:val="left"/>
        <w:rPr>
          <w:rFonts w:ascii="仿宋" w:hAnsi="仿宋" w:eastAsia="仿宋"/>
          <w:sz w:val="28"/>
          <w:szCs w:val="28"/>
        </w:rPr>
      </w:pPr>
    </w:p>
    <w:p>
      <w:pPr>
        <w:jc w:val="left"/>
        <w:rPr>
          <w:rFonts w:ascii="宋体" w:hAnsi="宋体"/>
          <w:b/>
          <w:sz w:val="24"/>
        </w:rPr>
      </w:pPr>
      <w:r>
        <w:rPr>
          <w:rFonts w:hint="eastAsia" w:ascii="宋体" w:hAnsi="宋体"/>
          <w:b/>
          <w:sz w:val="24"/>
        </w:rPr>
        <w:t>附件一：服务清单</w:t>
      </w:r>
    </w:p>
    <w:p>
      <w:pPr>
        <w:tabs>
          <w:tab w:val="left" w:pos="8640"/>
        </w:tabs>
        <w:autoSpaceDE w:val="0"/>
        <w:autoSpaceDN w:val="0"/>
        <w:snapToGrid w:val="0"/>
        <w:spacing w:line="360" w:lineRule="auto"/>
        <w:jc w:val="left"/>
        <w:rPr>
          <w:rFonts w:ascii="宋体" w:hAnsi="宋体" w:cs="宋体"/>
          <w:b/>
          <w:bCs/>
          <w:color w:val="000000"/>
          <w:kern w:val="0"/>
          <w:sz w:val="24"/>
        </w:rPr>
      </w:pPr>
      <w:r>
        <w:rPr>
          <w:rFonts w:hint="eastAsia" w:ascii="宋体" w:hAnsi="宋体" w:cs="宋体"/>
          <w:b/>
          <w:bCs/>
          <w:color w:val="000000"/>
          <w:kern w:val="0"/>
          <w:sz w:val="24"/>
        </w:rPr>
        <w:t>1</w:t>
      </w:r>
      <w:r>
        <w:rPr>
          <w:rFonts w:ascii="宋体" w:hAnsi="宋体" w:cs="宋体"/>
          <w:b/>
          <w:bCs/>
          <w:color w:val="000000"/>
          <w:kern w:val="0"/>
          <w:sz w:val="24"/>
        </w:rPr>
        <w:t>.1</w:t>
      </w:r>
      <w:r>
        <w:rPr>
          <w:rFonts w:hint="eastAsia" w:ascii="宋体" w:hAnsi="宋体" w:cs="宋体"/>
          <w:b/>
          <w:bCs/>
          <w:color w:val="000000"/>
          <w:kern w:val="0"/>
          <w:sz w:val="24"/>
        </w:rPr>
        <w:t>、水处理服务</w:t>
      </w:r>
    </w:p>
    <w:tbl>
      <w:tblPr>
        <w:tblStyle w:val="4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14"/>
        <w:gridCol w:w="3663"/>
        <w:gridCol w:w="851"/>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6"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914"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项目类别</w:t>
            </w: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服务内容</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数量</w:t>
            </w:r>
          </w:p>
        </w:tc>
        <w:tc>
          <w:tcPr>
            <w:tcW w:w="1418" w:type="dxa"/>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p>
        </w:tc>
        <w:tc>
          <w:tcPr>
            <w:tcW w:w="1914"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冷却系统</w:t>
            </w: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军团菌检测(CMA)</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份</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固体杀菌剂</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KG</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450</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KG/</w:t>
            </w:r>
            <w:r>
              <w:rPr>
                <w:rFonts w:hint="eastAsia" w:ascii="宋体" w:hAnsi="宋体" w:cs="宋体"/>
                <w:color w:val="000000"/>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缓蚀阻垢剂</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KG</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1350</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9KG/</w:t>
            </w:r>
            <w:r>
              <w:rPr>
                <w:rFonts w:hint="eastAsia" w:ascii="宋体" w:hAnsi="宋体" w:cs="宋体"/>
                <w:color w:val="000000"/>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杀菌灭藻剂</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KG</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450</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KG/</w:t>
            </w:r>
            <w:r>
              <w:rPr>
                <w:rFonts w:hint="eastAsia" w:ascii="宋体" w:hAnsi="宋体" w:cs="宋体"/>
                <w:color w:val="000000"/>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水处理清洗预膜保养</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次</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取样检测系统巡检</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次</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6</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14" w:type="dxa"/>
            <w:shd w:val="clear" w:color="auto" w:fill="auto"/>
            <w:vAlign w:val="center"/>
          </w:tcPr>
          <w:p>
            <w:pPr>
              <w:tabs>
                <w:tab w:val="left" w:pos="8640"/>
              </w:tabs>
              <w:autoSpaceDE w:val="0"/>
              <w:autoSpaceDN w:val="0"/>
              <w:snapToGrid w:val="0"/>
              <w:jc w:val="left"/>
              <w:rPr>
                <w:rFonts w:ascii="宋体" w:hAnsi="宋体" w:cs="宋体"/>
                <w:color w:val="000000"/>
                <w:kern w:val="0"/>
                <w:sz w:val="22"/>
                <w:szCs w:val="22"/>
              </w:rPr>
            </w:pPr>
            <w:r>
              <w:rPr>
                <w:rFonts w:hint="eastAsia" w:ascii="宋体" w:hAnsi="宋体" w:cs="宋体"/>
                <w:color w:val="000000"/>
                <w:kern w:val="0"/>
                <w:sz w:val="22"/>
                <w:szCs w:val="22"/>
              </w:rPr>
              <w:t>空调系统水泵检修</w:t>
            </w:r>
          </w:p>
        </w:tc>
        <w:tc>
          <w:tcPr>
            <w:tcW w:w="3663" w:type="dxa"/>
            <w:shd w:val="clear" w:color="auto" w:fill="auto"/>
            <w:vAlign w:val="center"/>
          </w:tcPr>
          <w:p>
            <w:pPr>
              <w:tabs>
                <w:tab w:val="left" w:pos="8640"/>
              </w:tabs>
              <w:autoSpaceDE w:val="0"/>
              <w:autoSpaceDN w:val="0"/>
              <w:snapToGrid w:val="0"/>
              <w:jc w:val="left"/>
              <w:rPr>
                <w:rFonts w:ascii="宋体" w:hAnsi="宋体" w:cs="宋体"/>
                <w:color w:val="000000"/>
                <w:kern w:val="0"/>
                <w:sz w:val="24"/>
              </w:rPr>
            </w:pPr>
            <w:r>
              <w:rPr>
                <w:rFonts w:hint="eastAsia" w:ascii="宋体" w:hAnsi="宋体" w:cs="宋体"/>
                <w:color w:val="000000"/>
                <w:kern w:val="0"/>
                <w:sz w:val="22"/>
                <w:szCs w:val="22"/>
              </w:rPr>
              <w:t>冷冻泵冷却泵补水泵设备及电机等检修维护</w:t>
            </w:r>
          </w:p>
        </w:tc>
        <w:tc>
          <w:tcPr>
            <w:tcW w:w="851" w:type="dxa"/>
            <w:shd w:val="clear" w:color="auto" w:fill="auto"/>
            <w:vAlign w:val="center"/>
          </w:tcPr>
          <w:p>
            <w:pPr>
              <w:tabs>
                <w:tab w:val="left" w:pos="8640"/>
              </w:tabs>
              <w:autoSpaceDE w:val="0"/>
              <w:autoSpaceDN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50" w:type="dxa"/>
            <w:shd w:val="clear" w:color="auto" w:fill="auto"/>
            <w:vAlign w:val="center"/>
          </w:tcPr>
          <w:p>
            <w:pPr>
              <w:tabs>
                <w:tab w:val="left" w:pos="8640"/>
              </w:tabs>
              <w:autoSpaceDE w:val="0"/>
              <w:autoSpaceDN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18" w:type="dxa"/>
            <w:vAlign w:val="center"/>
          </w:tcPr>
          <w:p>
            <w:pPr>
              <w:tabs>
                <w:tab w:val="left" w:pos="8640"/>
              </w:tabs>
              <w:autoSpaceDE w:val="0"/>
              <w:autoSpaceDN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3</w:t>
            </w:r>
          </w:p>
        </w:tc>
        <w:tc>
          <w:tcPr>
            <w:tcW w:w="1914"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冷却塔检修保养</w:t>
            </w: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冷却塔附件维护保养</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台</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更换皮带</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根</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12</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检查电机</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项</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减速机、电机注润滑油</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项</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bl>
    <w:p>
      <w:pPr>
        <w:tabs>
          <w:tab w:val="left" w:pos="8640"/>
        </w:tabs>
        <w:autoSpaceDE w:val="0"/>
        <w:autoSpaceDN w:val="0"/>
        <w:snapToGrid w:val="0"/>
        <w:spacing w:line="360" w:lineRule="auto"/>
        <w:ind w:left="360" w:firstLine="1205"/>
        <w:jc w:val="left"/>
        <w:rPr>
          <w:rFonts w:ascii="宋体" w:hAnsi="宋体" w:cs="宋体"/>
          <w:b/>
          <w:bCs/>
          <w:color w:val="000000"/>
          <w:kern w:val="0"/>
          <w:sz w:val="24"/>
        </w:rPr>
      </w:pPr>
    </w:p>
    <w:p>
      <w:pPr>
        <w:keepNext w:val="0"/>
        <w:keepLines w:val="0"/>
        <w:pageBreakBefore w:val="0"/>
        <w:widowControl w:val="0"/>
        <w:tabs>
          <w:tab w:val="left" w:pos="8640"/>
        </w:tabs>
        <w:kinsoku/>
        <w:wordWrap/>
        <w:overflowPunct/>
        <w:topLinePunct w:val="0"/>
        <w:autoSpaceDE w:val="0"/>
        <w:autoSpaceDN w:val="0"/>
        <w:bidi w:val="0"/>
        <w:adjustRightInd/>
        <w:snapToGrid w:val="0"/>
        <w:spacing w:line="360" w:lineRule="auto"/>
        <w:ind w:left="0" w:leftChars="0" w:firstLine="482" w:firstLineChars="200"/>
        <w:jc w:val="both"/>
        <w:textAlignment w:val="auto"/>
        <w:rPr>
          <w:rFonts w:ascii="宋体" w:hAnsi="宋体" w:cs="宋体"/>
          <w:b/>
          <w:bCs/>
          <w:color w:val="000000"/>
          <w:kern w:val="0"/>
          <w:sz w:val="24"/>
        </w:rPr>
      </w:pPr>
      <w:r>
        <w:rPr>
          <w:rFonts w:hint="eastAsia" w:ascii="宋体" w:hAnsi="宋体" w:cs="宋体"/>
          <w:b/>
          <w:bCs/>
          <w:color w:val="000000"/>
          <w:kern w:val="0"/>
          <w:sz w:val="24"/>
        </w:rPr>
        <w:t>1.2水系统维修保养服务范围</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服务内容包含但不限于以下服务：</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1.2.1制冷主机的维护保养（含更换润滑油、冷冻机油及滤芯）</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1.2.2冷却塔维修、维护保养及填料清洗工作</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1.2.3组合式空调机组维护清洗及保养</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1.2.4冷却水、冷冻水及热源侧等水泵检修</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1.2.5空调系统其他附属设备的维护保养</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1.2.6风机盘管、精密空调、VRV多联式空调系统的维护保养</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1.2.7水系统加药、除垢、清洗等工作</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1.2.8空调水系统管路阀门等的排查检修</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1.2.9水系统过滤器清洗维护</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hint="eastAsia" w:ascii="宋体" w:hAnsi="宋体"/>
          <w:sz w:val="24"/>
        </w:rPr>
        <w:t>1.2.10提供第三方水质检测报告；</w:t>
      </w:r>
    </w:p>
    <w:p>
      <w:pPr>
        <w:keepNext w:val="0"/>
        <w:keepLines w:val="0"/>
        <w:pageBreakBefore w:val="0"/>
        <w:widowControl w:val="0"/>
        <w:tabs>
          <w:tab w:val="left" w:pos="8640"/>
        </w:tabs>
        <w:kinsoku/>
        <w:wordWrap/>
        <w:overflowPunct/>
        <w:topLinePunct w:val="0"/>
        <w:autoSpaceDE w:val="0"/>
        <w:autoSpaceDN w:val="0"/>
        <w:bidi w:val="0"/>
        <w:adjustRightInd/>
        <w:snapToGrid w:val="0"/>
        <w:spacing w:line="360" w:lineRule="auto"/>
        <w:ind w:left="0" w:leftChars="0" w:firstLine="482" w:firstLineChars="200"/>
        <w:jc w:val="both"/>
        <w:textAlignment w:val="auto"/>
        <w:rPr>
          <w:rFonts w:ascii="宋体" w:hAnsi="宋体" w:cs="宋体"/>
          <w:b/>
          <w:bCs/>
          <w:color w:val="000000"/>
          <w:kern w:val="0"/>
          <w:sz w:val="24"/>
        </w:rPr>
      </w:pPr>
      <w:r>
        <w:rPr>
          <w:rFonts w:hint="eastAsia" w:ascii="宋体" w:hAnsi="宋体" w:cs="宋体"/>
          <w:b/>
          <w:bCs/>
          <w:color w:val="000000"/>
          <w:kern w:val="0"/>
          <w:sz w:val="24"/>
        </w:rPr>
        <w:t>1.3服务工作要求</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cs="宋体"/>
          <w:sz w:val="24"/>
        </w:rPr>
      </w:pPr>
      <w:r>
        <w:rPr>
          <w:rFonts w:ascii="宋体" w:hAnsi="宋体"/>
          <w:sz w:val="24"/>
        </w:rPr>
        <w:t>1.3.</w:t>
      </w:r>
      <w:r>
        <w:rPr>
          <w:rFonts w:hint="eastAsia" w:ascii="宋体" w:hAnsi="宋体"/>
          <w:sz w:val="24"/>
        </w:rPr>
        <w:t>1、</w:t>
      </w:r>
      <w:r>
        <w:rPr>
          <w:rFonts w:hint="eastAsia" w:ascii="宋体" w:hAnsi="宋体" w:cs="宋体"/>
          <w:sz w:val="24"/>
        </w:rPr>
        <w:t>水质处理采用药剂法，每年制冷机开机前对冷却水进行清洗、预膜，及水循环期间定期对循环水系统进行阻垢防锈、杀菌灭藻、排泥等处理。</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cs="宋体"/>
          <w:sz w:val="24"/>
        </w:rPr>
      </w:pPr>
      <w:r>
        <w:rPr>
          <w:rFonts w:ascii="宋体" w:hAnsi="宋体" w:cs="宋体"/>
          <w:sz w:val="24"/>
        </w:rPr>
        <w:t>1.3.2</w:t>
      </w:r>
      <w:r>
        <w:rPr>
          <w:rFonts w:hint="eastAsia" w:ascii="宋体" w:hAnsi="宋体" w:cs="宋体"/>
          <w:sz w:val="24"/>
        </w:rPr>
        <w:t>、了解待处理的循环水的系统结构、循环水水质、设备及管路（冷水机组、冷却水塔、泵、空调末端等）等所有配件的材质等，分析以上因素制定针对性的、独立的水处理技术方案和施工计划，甲方批准后实施。</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ascii="宋体" w:hAnsi="宋体"/>
          <w:sz w:val="24"/>
        </w:rPr>
        <w:t>1.3.3</w:t>
      </w:r>
      <w:r>
        <w:rPr>
          <w:rFonts w:hint="eastAsia" w:ascii="宋体" w:hAnsi="宋体"/>
          <w:sz w:val="24"/>
        </w:rPr>
        <w:t>、提供合同中约定的水处理药剂（下称“药剂”）；</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cs="宋体"/>
          <w:sz w:val="24"/>
        </w:rPr>
      </w:pPr>
      <w:r>
        <w:rPr>
          <w:rFonts w:ascii="宋体" w:hAnsi="宋体" w:cs="宋体"/>
          <w:sz w:val="24"/>
        </w:rPr>
        <w:t>1.3.4</w:t>
      </w:r>
      <w:r>
        <w:rPr>
          <w:rFonts w:hint="eastAsia" w:ascii="宋体" w:hAnsi="宋体" w:cs="宋体"/>
          <w:sz w:val="24"/>
        </w:rPr>
        <w:t>、提供水冷机组水质保养及清洗服务所必需的药剂，其中包括清洗剂、预膜剂、缓蚀阻垢剂、杀菌剂、等全部药剂及加药工作，药剂费用由投标人承担，药剂供应时将提供质量合格证及相关证明。所有药剂均不会对循环水的设备及管路有损害，并保证排放水达到相关环保要求，如有违反按违约处理。</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cs="宋体"/>
          <w:sz w:val="24"/>
        </w:rPr>
      </w:pPr>
      <w:r>
        <w:rPr>
          <w:rFonts w:ascii="宋体" w:hAnsi="宋体" w:cs="宋体"/>
          <w:sz w:val="24"/>
        </w:rPr>
        <w:t>1.3.5</w:t>
      </w:r>
      <w:r>
        <w:rPr>
          <w:rFonts w:hint="eastAsia" w:ascii="宋体" w:hAnsi="宋体" w:cs="宋体"/>
          <w:sz w:val="24"/>
        </w:rPr>
        <w:t>、制冷机开机前，对管路系统进行清洗、预膜；运行期间，定期加药进行水质稳定处理，并根据水质分析结果和气温变化情况及时调整药剂配方和调节水质。</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kern w:val="0"/>
          <w:sz w:val="24"/>
        </w:rPr>
      </w:pPr>
      <w:r>
        <w:rPr>
          <w:rFonts w:ascii="宋体" w:hAnsi="宋体"/>
          <w:sz w:val="24"/>
        </w:rPr>
        <w:t>1.3.6</w:t>
      </w:r>
      <w:r>
        <w:rPr>
          <w:rFonts w:hint="eastAsia" w:ascii="宋体" w:hAnsi="宋体"/>
          <w:sz w:val="24"/>
        </w:rPr>
        <w:t>、</w:t>
      </w:r>
      <w:r>
        <w:rPr>
          <w:rFonts w:hint="eastAsia" w:ascii="宋体" w:hAnsi="宋体"/>
          <w:kern w:val="0"/>
          <w:sz w:val="24"/>
        </w:rPr>
        <w:t>提供软化设备维护（负责软化水盐的供应）和水质化验工作；</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kern w:val="0"/>
          <w:sz w:val="24"/>
        </w:rPr>
      </w:pPr>
      <w:r>
        <w:rPr>
          <w:rFonts w:ascii="宋体" w:hAnsi="宋体"/>
          <w:sz w:val="24"/>
        </w:rPr>
        <w:t>1.3.7</w:t>
      </w:r>
      <w:r>
        <w:rPr>
          <w:rFonts w:hint="eastAsia" w:ascii="宋体" w:hAnsi="宋体"/>
          <w:sz w:val="24"/>
        </w:rPr>
        <w:t>、提供冷却自动加药设备维护及相关附属备件</w:t>
      </w:r>
      <w:r>
        <w:rPr>
          <w:rFonts w:hint="eastAsia" w:ascii="宋体" w:hAnsi="宋体"/>
          <w:kern w:val="0"/>
          <w:sz w:val="24"/>
        </w:rPr>
        <w:t>；</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kern w:val="0"/>
          <w:sz w:val="24"/>
        </w:rPr>
      </w:pPr>
      <w:r>
        <w:rPr>
          <w:rFonts w:ascii="宋体" w:hAnsi="宋体"/>
          <w:sz w:val="24"/>
        </w:rPr>
        <w:t>1.3.8</w:t>
      </w:r>
      <w:r>
        <w:rPr>
          <w:rFonts w:hint="eastAsia" w:ascii="宋体" w:hAnsi="宋体"/>
          <w:sz w:val="24"/>
        </w:rPr>
        <w:t>、</w:t>
      </w:r>
      <w:r>
        <w:rPr>
          <w:rFonts w:hint="eastAsia" w:ascii="宋体" w:hAnsi="宋体"/>
          <w:kern w:val="0"/>
          <w:sz w:val="24"/>
        </w:rPr>
        <w:t>供冷季期间提供冷却、冷冻水系统每周取水样一次，提供周化验报告；软化水每半月取水样一次，提供化验报告；</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ascii="宋体" w:hAnsi="宋体"/>
          <w:sz w:val="24"/>
        </w:rPr>
        <w:t>1.3.9</w:t>
      </w:r>
      <w:r>
        <w:rPr>
          <w:rFonts w:hint="eastAsia" w:ascii="宋体" w:hAnsi="宋体"/>
          <w:sz w:val="24"/>
        </w:rPr>
        <w:t>、提供冷却水系统停用期间湿保养药剂；</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ascii="宋体" w:hAnsi="宋体"/>
          <w:sz w:val="24"/>
        </w:rPr>
        <w:t>1.3.10</w:t>
      </w:r>
      <w:r>
        <w:rPr>
          <w:rFonts w:hint="eastAsia" w:ascii="宋体" w:hAnsi="宋体"/>
          <w:sz w:val="24"/>
        </w:rPr>
        <w:t>、供冷季期间每月一次清洗冷却塔塔盘，并打扫冷塔平台卫生，保持冷却塔设备及平台卫生洁净、无杂物、无空药剂桶等；</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ascii="宋体" w:hAnsi="宋体"/>
          <w:sz w:val="24"/>
        </w:rPr>
        <w:t>1.3.11</w:t>
      </w:r>
      <w:r>
        <w:rPr>
          <w:rFonts w:hint="eastAsia" w:ascii="宋体" w:hAnsi="宋体"/>
          <w:sz w:val="24"/>
        </w:rPr>
        <w:t>、供冷季期间每月对填料进行一次清洗工作；</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ascii="宋体" w:hAnsi="宋体"/>
          <w:sz w:val="24"/>
        </w:rPr>
        <w:t>1.3.12</w:t>
      </w:r>
      <w:r>
        <w:rPr>
          <w:rFonts w:hint="eastAsia" w:ascii="宋体" w:hAnsi="宋体"/>
          <w:sz w:val="24"/>
        </w:rPr>
        <w:t>、供冷季季前对水系统水泵进行整体巡查；</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ascii="宋体" w:hAnsi="宋体"/>
          <w:sz w:val="24"/>
        </w:rPr>
        <w:t>1.3.13</w:t>
      </w:r>
      <w:r>
        <w:rPr>
          <w:rFonts w:hint="eastAsia" w:ascii="宋体" w:hAnsi="宋体"/>
          <w:sz w:val="24"/>
        </w:rPr>
        <w:t>、供冷季季前对水系统管路阀门进行整体巡查；</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ascii="宋体" w:hAnsi="宋体"/>
          <w:sz w:val="24"/>
        </w:rPr>
        <w:t>1.3.14</w:t>
      </w:r>
      <w:r>
        <w:rPr>
          <w:rFonts w:hint="eastAsia" w:ascii="宋体" w:hAnsi="宋体"/>
          <w:sz w:val="24"/>
        </w:rPr>
        <w:t>、服务单位每季针对所有水质化验情况出具全面检测报告；</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sz w:val="24"/>
        </w:rPr>
      </w:pPr>
      <w:r>
        <w:rPr>
          <w:rFonts w:ascii="宋体" w:hAnsi="宋体"/>
          <w:sz w:val="24"/>
        </w:rPr>
        <w:t>1.3.</w:t>
      </w:r>
      <w:r>
        <w:rPr>
          <w:rFonts w:hint="eastAsia" w:ascii="宋体" w:hAnsi="宋体"/>
          <w:sz w:val="24"/>
        </w:rPr>
        <w:t>1</w:t>
      </w:r>
      <w:r>
        <w:rPr>
          <w:rFonts w:ascii="宋体" w:hAnsi="宋体"/>
          <w:sz w:val="24"/>
        </w:rPr>
        <w:t>5</w:t>
      </w:r>
      <w:r>
        <w:rPr>
          <w:rFonts w:hint="eastAsia" w:ascii="宋体" w:hAnsi="宋体"/>
          <w:sz w:val="24"/>
        </w:rPr>
        <w:t>、</w:t>
      </w:r>
      <w:r>
        <w:rPr>
          <w:rFonts w:hint="eastAsia" w:ascii="宋体" w:hAnsi="宋体" w:cs="宋体"/>
          <w:sz w:val="24"/>
        </w:rPr>
        <w:t>对空调水系统作防锈蚀处理，应定期检查中央空调的实际情况，</w:t>
      </w:r>
      <w:r>
        <w:rPr>
          <w:rFonts w:hint="eastAsia" w:ascii="宋体" w:hAnsi="宋体"/>
          <w:sz w:val="24"/>
        </w:rPr>
        <w:t>冷机启动前对空调水系统的水过滤器进行拆卸清洗工作。</w:t>
      </w:r>
    </w:p>
    <w:p>
      <w:pPr>
        <w:keepNext w:val="0"/>
        <w:keepLines w:val="0"/>
        <w:pageBreakBefore w:val="0"/>
        <w:widowControl w:val="0"/>
        <w:kinsoku/>
        <w:wordWrap/>
        <w:overflowPunct/>
        <w:topLinePunct w:val="0"/>
        <w:bidi w:val="0"/>
        <w:adjustRightInd/>
        <w:spacing w:line="360" w:lineRule="auto"/>
        <w:ind w:left="0" w:leftChars="0" w:firstLine="480" w:firstLineChars="200"/>
        <w:jc w:val="both"/>
        <w:textAlignment w:val="auto"/>
        <w:rPr>
          <w:rFonts w:ascii="宋体" w:hAnsi="宋体" w:cs="宋体"/>
          <w:sz w:val="24"/>
        </w:rPr>
      </w:pPr>
      <w:r>
        <w:rPr>
          <w:rFonts w:ascii="宋体" w:hAnsi="宋体" w:cs="宋体"/>
          <w:sz w:val="24"/>
        </w:rPr>
        <w:t>1.3.16</w:t>
      </w:r>
      <w:r>
        <w:rPr>
          <w:rFonts w:hint="eastAsia" w:ascii="宋体" w:hAnsi="宋体" w:cs="宋体"/>
          <w:sz w:val="24"/>
        </w:rPr>
        <w:t>、按照甲方要求进行第三方检测。①每套空调水系统每个季度均要提供一份第三方权威机构出具的检测报告，具体检测时间为不定期抽测。②每半年提供1份第三方权威机构出具的冷却塔军团菌检测报告，具体检测时间为不定期抽测。</w:t>
      </w:r>
    </w:p>
    <w:p>
      <w:pPr>
        <w:pStyle w:val="82"/>
        <w:tabs>
          <w:tab w:val="left" w:pos="8640"/>
        </w:tabs>
        <w:autoSpaceDE w:val="0"/>
        <w:autoSpaceDN w:val="0"/>
        <w:snapToGrid w:val="0"/>
        <w:spacing w:line="360" w:lineRule="auto"/>
        <w:ind w:left="360" w:firstLine="0" w:firstLineChars="0"/>
        <w:jc w:val="left"/>
        <w:rPr>
          <w:rFonts w:ascii="宋体" w:hAnsi="宋体" w:cs="宋体"/>
          <w:color w:val="000000"/>
          <w:kern w:val="0"/>
          <w:sz w:val="24"/>
        </w:rPr>
      </w:pPr>
      <w:r>
        <w:rPr>
          <w:rFonts w:ascii="宋体" w:hAnsi="宋体" w:cs="宋体"/>
          <w:b/>
          <w:bCs/>
          <w:color w:val="000000"/>
          <w:kern w:val="0"/>
          <w:sz w:val="24"/>
        </w:rPr>
        <w:t>2.1</w:t>
      </w:r>
      <w:r>
        <w:rPr>
          <w:rFonts w:hint="eastAsia" w:ascii="宋体" w:hAnsi="宋体" w:cs="宋体"/>
          <w:b/>
          <w:bCs/>
          <w:color w:val="000000"/>
          <w:kern w:val="0"/>
          <w:sz w:val="24"/>
        </w:rPr>
        <w:t>、主机保养服务</w:t>
      </w:r>
    </w:p>
    <w:tbl>
      <w:tblPr>
        <w:tblStyle w:val="4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608"/>
        <w:gridCol w:w="1070"/>
        <w:gridCol w:w="978"/>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2" w:type="dxa"/>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608" w:type="dxa"/>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名称与规格型号</w:t>
            </w:r>
          </w:p>
        </w:tc>
        <w:tc>
          <w:tcPr>
            <w:tcW w:w="1070" w:type="dxa"/>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978" w:type="dxa"/>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2629" w:type="dxa"/>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1</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机组巡检保养</w:t>
            </w:r>
          </w:p>
        </w:tc>
        <w:tc>
          <w:tcPr>
            <w:tcW w:w="1070"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3</w:t>
            </w:r>
          </w:p>
        </w:tc>
        <w:tc>
          <w:tcPr>
            <w:tcW w:w="97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台</w:t>
            </w:r>
          </w:p>
        </w:tc>
        <w:tc>
          <w:tcPr>
            <w:tcW w:w="2629"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2</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离心机组润滑油</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（特灵原厂9.3升/桶）</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OIL00022</w:t>
            </w:r>
          </w:p>
        </w:tc>
        <w:tc>
          <w:tcPr>
            <w:tcW w:w="1070"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12</w:t>
            </w:r>
          </w:p>
        </w:tc>
        <w:tc>
          <w:tcPr>
            <w:tcW w:w="97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桶</w:t>
            </w:r>
          </w:p>
        </w:tc>
        <w:tc>
          <w:tcPr>
            <w:tcW w:w="2629"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更换频次：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3</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机组干燥过滤器（特灵原厂）DHY01474</w:t>
            </w:r>
          </w:p>
        </w:tc>
        <w:tc>
          <w:tcPr>
            <w:tcW w:w="1070"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2</w:t>
            </w:r>
          </w:p>
        </w:tc>
        <w:tc>
          <w:tcPr>
            <w:tcW w:w="97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个</w:t>
            </w:r>
          </w:p>
        </w:tc>
        <w:tc>
          <w:tcPr>
            <w:tcW w:w="2629"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离心机组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4</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离心机组油过滤器（特灵原厂）FLR01592</w:t>
            </w:r>
          </w:p>
        </w:tc>
        <w:tc>
          <w:tcPr>
            <w:tcW w:w="1070"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4</w:t>
            </w:r>
          </w:p>
        </w:tc>
        <w:tc>
          <w:tcPr>
            <w:tcW w:w="97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个</w:t>
            </w:r>
          </w:p>
        </w:tc>
        <w:tc>
          <w:tcPr>
            <w:tcW w:w="2629"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更换频次：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5</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螺杆机组润滑油</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（特灵原厂3.75升/桶）</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OIL00048</w:t>
            </w:r>
          </w:p>
        </w:tc>
        <w:tc>
          <w:tcPr>
            <w:tcW w:w="1070"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12</w:t>
            </w:r>
          </w:p>
        </w:tc>
        <w:tc>
          <w:tcPr>
            <w:tcW w:w="97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桶</w:t>
            </w:r>
          </w:p>
        </w:tc>
        <w:tc>
          <w:tcPr>
            <w:tcW w:w="2629"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更换频次：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6</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螺杆机机组油过滤器</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（特灵原厂）ELM01405</w:t>
            </w:r>
          </w:p>
        </w:tc>
        <w:tc>
          <w:tcPr>
            <w:tcW w:w="1070"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2</w:t>
            </w:r>
          </w:p>
        </w:tc>
        <w:tc>
          <w:tcPr>
            <w:tcW w:w="97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个</w:t>
            </w:r>
          </w:p>
        </w:tc>
        <w:tc>
          <w:tcPr>
            <w:tcW w:w="2629"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更换频次：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清洗蒸发器及冷凝器</w:t>
            </w:r>
          </w:p>
        </w:tc>
        <w:tc>
          <w:tcPr>
            <w:tcW w:w="107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978"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组</w:t>
            </w:r>
          </w:p>
        </w:tc>
        <w:tc>
          <w:tcPr>
            <w:tcW w:w="2629"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拆盖清洗  1次/1年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配电室大金空调、服务器机房海信精密空调、</w:t>
            </w:r>
            <w:r>
              <w:rPr>
                <w:rFonts w:hint="eastAsia" w:ascii="宋体" w:hAnsi="宋体" w:cs="宋体"/>
                <w:color w:val="000000"/>
                <w:kern w:val="0"/>
                <w:szCs w:val="21"/>
                <w:lang w:val="en-US" w:eastAsia="zh-CN"/>
              </w:rPr>
              <w:t>风冷机组，</w:t>
            </w:r>
            <w:r>
              <w:rPr>
                <w:rFonts w:hint="eastAsia" w:ascii="宋体" w:hAnsi="宋体" w:cs="宋体"/>
                <w:color w:val="000000"/>
                <w:kern w:val="0"/>
                <w:szCs w:val="21"/>
              </w:rPr>
              <w:t>弱电井美的多联机等机组检修</w:t>
            </w:r>
          </w:p>
        </w:tc>
        <w:tc>
          <w:tcPr>
            <w:tcW w:w="107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7</w:t>
            </w:r>
          </w:p>
        </w:tc>
        <w:tc>
          <w:tcPr>
            <w:tcW w:w="978"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2629"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机组过滤器清洗及机组维护检修保养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9</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机组控制系统软件进行升级版本服务</w:t>
            </w:r>
          </w:p>
        </w:tc>
        <w:tc>
          <w:tcPr>
            <w:tcW w:w="107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978"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2629"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对机组控制系统软件进行升级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82"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360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运行第1个月驻厂人员</w:t>
            </w:r>
          </w:p>
        </w:tc>
        <w:tc>
          <w:tcPr>
            <w:tcW w:w="1070"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1</w:t>
            </w:r>
          </w:p>
        </w:tc>
        <w:tc>
          <w:tcPr>
            <w:tcW w:w="978"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人</w:t>
            </w:r>
          </w:p>
        </w:tc>
        <w:tc>
          <w:tcPr>
            <w:tcW w:w="2629" w:type="dxa"/>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有处理解决各种制冷机组突发情况的能力，有培训讲解制冷机组运维保障的能力</w:t>
            </w:r>
          </w:p>
        </w:tc>
      </w:tr>
    </w:tbl>
    <w:p>
      <w:pPr>
        <w:tabs>
          <w:tab w:val="left" w:pos="8640"/>
        </w:tabs>
        <w:autoSpaceDE w:val="0"/>
        <w:autoSpaceDN w:val="0"/>
        <w:snapToGrid w:val="0"/>
        <w:spacing w:line="360" w:lineRule="auto"/>
        <w:jc w:val="left"/>
        <w:rPr>
          <w:rFonts w:ascii="宋体" w:hAnsi="宋体" w:cs="宋体"/>
          <w:b/>
          <w:bCs/>
          <w:color w:val="000000"/>
          <w:kern w:val="0"/>
          <w:sz w:val="24"/>
        </w:rPr>
      </w:pPr>
    </w:p>
    <w:p>
      <w:pPr>
        <w:tabs>
          <w:tab w:val="left" w:pos="8640"/>
        </w:tabs>
        <w:autoSpaceDE w:val="0"/>
        <w:autoSpaceDN w:val="0"/>
        <w:snapToGrid w:val="0"/>
        <w:spacing w:line="360" w:lineRule="auto"/>
        <w:jc w:val="both"/>
        <w:rPr>
          <w:rFonts w:ascii="宋体" w:hAnsi="宋体" w:cs="宋体"/>
          <w:b/>
          <w:bCs/>
          <w:color w:val="000000"/>
          <w:kern w:val="0"/>
          <w:sz w:val="24"/>
        </w:rPr>
      </w:pPr>
      <w:r>
        <w:rPr>
          <w:rFonts w:hint="eastAsia" w:ascii="宋体" w:hAnsi="宋体" w:cs="宋体"/>
          <w:b/>
          <w:bCs/>
          <w:color w:val="000000"/>
          <w:kern w:val="0"/>
          <w:sz w:val="24"/>
        </w:rPr>
        <w:t>附件二：制冷制热设备清单（包括但不限于已列出设备）</w:t>
      </w:r>
    </w:p>
    <w:tbl>
      <w:tblPr>
        <w:tblStyle w:val="41"/>
        <w:tblW w:w="9090" w:type="dxa"/>
        <w:tblInd w:w="96" w:type="dxa"/>
        <w:tblLayout w:type="fixed"/>
        <w:tblCellMar>
          <w:top w:w="0" w:type="dxa"/>
          <w:left w:w="108" w:type="dxa"/>
          <w:bottom w:w="0" w:type="dxa"/>
          <w:right w:w="108" w:type="dxa"/>
        </w:tblCellMar>
      </w:tblPr>
      <w:tblGrid>
        <w:gridCol w:w="1715"/>
        <w:gridCol w:w="167"/>
        <w:gridCol w:w="1677"/>
        <w:gridCol w:w="3121"/>
        <w:gridCol w:w="1702"/>
        <w:gridCol w:w="708"/>
      </w:tblGrid>
      <w:tr>
        <w:tblPrEx>
          <w:tblCellMar>
            <w:top w:w="0" w:type="dxa"/>
            <w:left w:w="108" w:type="dxa"/>
            <w:bottom w:w="0" w:type="dxa"/>
            <w:right w:w="108" w:type="dxa"/>
          </w:tblCellMar>
        </w:tblPrEx>
        <w:trPr>
          <w:trHeight w:val="552" w:hRule="atLeast"/>
        </w:trPr>
        <w:tc>
          <w:tcPr>
            <w:tcW w:w="188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设备名称</w:t>
            </w:r>
          </w:p>
        </w:tc>
        <w:tc>
          <w:tcPr>
            <w:tcW w:w="167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设备型号</w:t>
            </w:r>
          </w:p>
        </w:tc>
        <w:tc>
          <w:tcPr>
            <w:tcW w:w="31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设备参数</w:t>
            </w:r>
          </w:p>
        </w:tc>
        <w:tc>
          <w:tcPr>
            <w:tcW w:w="17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生产厂家</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r>
      <w:tr>
        <w:tblPrEx>
          <w:tblCellMar>
            <w:top w:w="0" w:type="dxa"/>
            <w:left w:w="108" w:type="dxa"/>
            <w:bottom w:w="0" w:type="dxa"/>
            <w:right w:w="108" w:type="dxa"/>
          </w:tblCellMar>
        </w:tblPrEx>
        <w:trPr>
          <w:trHeight w:val="348" w:hRule="atLeast"/>
        </w:trPr>
        <w:tc>
          <w:tcPr>
            <w:tcW w:w="9090"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制冷主机设备</w:t>
            </w:r>
          </w:p>
        </w:tc>
      </w:tr>
      <w:tr>
        <w:tblPrEx>
          <w:tblCellMar>
            <w:top w:w="0" w:type="dxa"/>
            <w:left w:w="108" w:type="dxa"/>
            <w:bottom w:w="0" w:type="dxa"/>
            <w:right w:w="108" w:type="dxa"/>
          </w:tblCellMar>
        </w:tblPrEx>
        <w:trPr>
          <w:trHeight w:val="1068" w:hRule="atLeast"/>
        </w:trPr>
        <w:tc>
          <w:tcPr>
            <w:tcW w:w="1715" w:type="dxa"/>
            <w:tcBorders>
              <w:top w:val="nil"/>
              <w:left w:val="single" w:color="auto" w:sz="4" w:space="0"/>
              <w:bottom w:val="single" w:color="auto" w:sz="4" w:space="0"/>
              <w:right w:val="single" w:color="auto" w:sz="4" w:space="0"/>
            </w:tcBorders>
            <w:vAlign w:val="center"/>
          </w:tcPr>
          <w:p>
            <w:pPr>
              <w:widowControl/>
              <w:spacing w:after="240"/>
              <w:jc w:val="left"/>
              <w:rPr>
                <w:rFonts w:ascii="宋体" w:hAnsi="宋体" w:cs="宋体"/>
                <w:color w:val="000000"/>
                <w:kern w:val="0"/>
                <w:sz w:val="16"/>
                <w:szCs w:val="16"/>
              </w:rPr>
            </w:pP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水冷离心式冷水机组</w:t>
            </w:r>
          </w:p>
        </w:tc>
        <w:tc>
          <w:tcPr>
            <w:tcW w:w="184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CVHG1100</w:t>
            </w:r>
          </w:p>
        </w:tc>
        <w:tc>
          <w:tcPr>
            <w:tcW w:w="3121" w:type="dxa"/>
            <w:tcBorders>
              <w:top w:val="nil"/>
              <w:left w:val="nil"/>
              <w:bottom w:val="single" w:color="auto" w:sz="4" w:space="0"/>
              <w:right w:val="single" w:color="auto" w:sz="4" w:space="0"/>
            </w:tcBorders>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机组制冷量：4218KW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额定电压：380.50HZ.3PH</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 xml:space="preserve">额定功率：781kw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额定电流：1349AMPS</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制冷剂：R123</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江苏太仓特灵空调系统（中国）有限公司</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CellMar>
            <w:top w:w="0" w:type="dxa"/>
            <w:left w:w="108" w:type="dxa"/>
            <w:bottom w:w="0" w:type="dxa"/>
            <w:right w:w="108" w:type="dxa"/>
          </w:tblCellMar>
        </w:tblPrEx>
        <w:trPr>
          <w:trHeight w:val="1152"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水冷螺杆式冷水机组</w:t>
            </w:r>
          </w:p>
        </w:tc>
        <w:tc>
          <w:tcPr>
            <w:tcW w:w="184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RTHDE3G2G1</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名义制冷量：1482.6KW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额定电压：380V</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重量：8914kg</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名义制冷量：1482.6kw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客户工况制冷量：1231.kw</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江苏太仓特灵空调系统（中国）有限公司</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960"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多联式空调机组</w:t>
            </w:r>
          </w:p>
        </w:tc>
        <w:tc>
          <w:tcPr>
            <w:tcW w:w="184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MDV-252W/D2SN1-8U1</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电源：3N-380V 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电流：24A</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功率：13990W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压力：4.4mpa</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广东美的暖通设备有限公司</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CellMar>
            <w:top w:w="0" w:type="dxa"/>
            <w:left w:w="108" w:type="dxa"/>
            <w:bottom w:w="0" w:type="dxa"/>
            <w:right w:w="108" w:type="dxa"/>
          </w:tblCellMar>
        </w:tblPrEx>
        <w:trPr>
          <w:trHeight w:val="768"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多联式空调机组</w:t>
            </w:r>
          </w:p>
        </w:tc>
        <w:tc>
          <w:tcPr>
            <w:tcW w:w="184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MDV-335W/D2SN1-801</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额定电源：3N~380V 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最大运转电流：26.4A</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最大输入功率：15300W</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广东美的暖通设备有限公司</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CellMar>
            <w:top w:w="0" w:type="dxa"/>
            <w:left w:w="108" w:type="dxa"/>
            <w:bottom w:w="0" w:type="dxa"/>
            <w:right w:w="108" w:type="dxa"/>
          </w:tblCellMar>
        </w:tblPrEx>
        <w:trPr>
          <w:trHeight w:val="960"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空调机室外机</w:t>
            </w:r>
          </w:p>
        </w:tc>
        <w:tc>
          <w:tcPr>
            <w:tcW w:w="184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RXQ020AA</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电源：3N-/380V/50HZ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功率：20.5KW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电流：25.8A</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压力：4.0mpa</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大金空调（上海）有限公司</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5</w:t>
            </w:r>
          </w:p>
        </w:tc>
      </w:tr>
      <w:tr>
        <w:tblPrEx>
          <w:tblCellMar>
            <w:top w:w="0" w:type="dxa"/>
            <w:left w:w="108" w:type="dxa"/>
            <w:bottom w:w="0" w:type="dxa"/>
            <w:right w:w="108" w:type="dxa"/>
          </w:tblCellMar>
        </w:tblPrEx>
        <w:trPr>
          <w:trHeight w:val="768"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精密机房专用空调机组外机</w:t>
            </w:r>
          </w:p>
        </w:tc>
        <w:tc>
          <w:tcPr>
            <w:tcW w:w="184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312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制冷量70.1KW</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海信（山东）空调有限公司</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w:t>
            </w:r>
          </w:p>
        </w:tc>
      </w:tr>
      <w:tr>
        <w:tblPrEx>
          <w:tblCellMar>
            <w:top w:w="0" w:type="dxa"/>
            <w:left w:w="108" w:type="dxa"/>
            <w:bottom w:w="0" w:type="dxa"/>
            <w:right w:w="108" w:type="dxa"/>
          </w:tblCellMar>
        </w:tblPrEx>
        <w:trPr>
          <w:trHeight w:val="768"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精密机房专用空调机组外机</w:t>
            </w:r>
          </w:p>
        </w:tc>
        <w:tc>
          <w:tcPr>
            <w:tcW w:w="184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HE-FW14A1(SAA2)</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额定电压/频率：380V/50hz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最大输入功率：1.9kw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最大输入电流：3.9A</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海信（山东）空调有限公司</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6</w:t>
            </w:r>
          </w:p>
        </w:tc>
      </w:tr>
      <w:tr>
        <w:tblPrEx>
          <w:tblCellMar>
            <w:top w:w="0" w:type="dxa"/>
            <w:left w:w="108" w:type="dxa"/>
            <w:bottom w:w="0" w:type="dxa"/>
            <w:right w:w="108" w:type="dxa"/>
          </w:tblCellMar>
        </w:tblPrEx>
        <w:trPr>
          <w:trHeight w:val="768"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多联式空调室内机</w:t>
            </w:r>
          </w:p>
        </w:tc>
        <w:tc>
          <w:tcPr>
            <w:tcW w:w="184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312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制冷量4.5kw，制热量5kw</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广东美的暖通设备有限公司</w:t>
            </w:r>
          </w:p>
        </w:tc>
        <w:tc>
          <w:tcPr>
            <w:tcW w:w="70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16</w:t>
            </w:r>
          </w:p>
        </w:tc>
      </w:tr>
      <w:tr>
        <w:tblPrEx>
          <w:tblCellMar>
            <w:top w:w="0" w:type="dxa"/>
            <w:left w:w="108" w:type="dxa"/>
            <w:bottom w:w="0" w:type="dxa"/>
            <w:right w:w="108" w:type="dxa"/>
          </w:tblCellMar>
        </w:tblPrEx>
        <w:trPr>
          <w:trHeight w:val="768"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冷凝水回收机组（套）</w:t>
            </w:r>
          </w:p>
        </w:tc>
        <w:tc>
          <w:tcPr>
            <w:tcW w:w="184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3121" w:type="dxa"/>
            <w:tcBorders>
              <w:top w:val="nil"/>
              <w:left w:val="nil"/>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回收水量20T/h，P＜0.6mpa</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708"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CellMar>
            <w:top w:w="0" w:type="dxa"/>
            <w:left w:w="108" w:type="dxa"/>
            <w:bottom w:w="0" w:type="dxa"/>
            <w:right w:w="108" w:type="dxa"/>
          </w:tblCellMar>
        </w:tblPrEx>
        <w:trPr>
          <w:trHeight w:val="768"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组合式新风机组</w:t>
            </w:r>
          </w:p>
        </w:tc>
        <w:tc>
          <w:tcPr>
            <w:tcW w:w="184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312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708"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38</w:t>
            </w:r>
          </w:p>
        </w:tc>
      </w:tr>
      <w:tr>
        <w:tblPrEx>
          <w:tblCellMar>
            <w:top w:w="0" w:type="dxa"/>
            <w:left w:w="108" w:type="dxa"/>
            <w:bottom w:w="0" w:type="dxa"/>
            <w:right w:w="108" w:type="dxa"/>
          </w:tblCellMar>
        </w:tblPrEx>
        <w:trPr>
          <w:trHeight w:val="768" w:hRule="atLeast"/>
        </w:trPr>
        <w:tc>
          <w:tcPr>
            <w:tcW w:w="171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自然冷却型风冷机组</w:t>
            </w:r>
          </w:p>
        </w:tc>
        <w:tc>
          <w:tcPr>
            <w:tcW w:w="184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CRITICOOL.FC.A.LN500V1R407C</w:t>
            </w:r>
          </w:p>
        </w:tc>
        <w:tc>
          <w:tcPr>
            <w:tcW w:w="3121"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电源：380V/3PH/50HZ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功率：164.8KW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电流：401A</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制冷量：470KW</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阿尔西制冷工程技术（北京）有限公司</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2</w:t>
            </w:r>
          </w:p>
        </w:tc>
      </w:tr>
      <w:tr>
        <w:tblPrEx>
          <w:tblCellMar>
            <w:top w:w="0" w:type="dxa"/>
            <w:left w:w="108" w:type="dxa"/>
            <w:bottom w:w="0" w:type="dxa"/>
            <w:right w:w="108" w:type="dxa"/>
          </w:tblCellMar>
        </w:tblPrEx>
        <w:trPr>
          <w:trHeight w:val="240" w:hRule="atLeast"/>
        </w:trPr>
        <w:tc>
          <w:tcPr>
            <w:tcW w:w="909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冷却塔设备</w:t>
            </w:r>
          </w:p>
        </w:tc>
      </w:tr>
      <w:tr>
        <w:tblPrEx>
          <w:tblCellMar>
            <w:top w:w="0" w:type="dxa"/>
            <w:left w:w="108" w:type="dxa"/>
            <w:bottom w:w="0" w:type="dxa"/>
            <w:right w:w="108" w:type="dxa"/>
          </w:tblCellMar>
        </w:tblPrEx>
        <w:trPr>
          <w:trHeight w:val="960" w:hRule="atLeast"/>
        </w:trPr>
        <w:tc>
          <w:tcPr>
            <w:tcW w:w="1882"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玻璃钢冷却塔</w:t>
            </w:r>
          </w:p>
        </w:tc>
        <w:tc>
          <w:tcPr>
            <w:tcW w:w="16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DBHZ5-900</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风机直径：3100mm</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功率：7.5kw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冷却水量：900㎡/n</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风量：1175m³/n</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山东金光集团有限公司</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CellMar>
            <w:top w:w="0" w:type="dxa"/>
            <w:left w:w="108" w:type="dxa"/>
            <w:bottom w:w="0" w:type="dxa"/>
            <w:right w:w="108" w:type="dxa"/>
          </w:tblCellMar>
        </w:tblPrEx>
        <w:trPr>
          <w:trHeight w:val="768" w:hRule="atLeast"/>
        </w:trPr>
        <w:tc>
          <w:tcPr>
            <w:tcW w:w="1882"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玻璃钢冷却塔</w:t>
            </w:r>
          </w:p>
        </w:tc>
        <w:tc>
          <w:tcPr>
            <w:tcW w:w="16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BDFZ2-900</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冷却水量：900m³/h</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功率：7.5kw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风机直径：2800mm</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山东金光集团有限公司</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240" w:hRule="atLeast"/>
        </w:trPr>
        <w:tc>
          <w:tcPr>
            <w:tcW w:w="909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水泵设备</w:t>
            </w:r>
          </w:p>
        </w:tc>
      </w:tr>
      <w:tr>
        <w:tblPrEx>
          <w:tblCellMar>
            <w:top w:w="0" w:type="dxa"/>
            <w:left w:w="108" w:type="dxa"/>
            <w:bottom w:w="0" w:type="dxa"/>
            <w:right w:w="108" w:type="dxa"/>
          </w:tblCellMar>
        </w:tblPrEx>
        <w:trPr>
          <w:trHeight w:val="780" w:hRule="atLeast"/>
        </w:trPr>
        <w:tc>
          <w:tcPr>
            <w:tcW w:w="1882"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冷却水循环泵                             4号、5号</w:t>
            </w:r>
          </w:p>
        </w:tc>
        <w:tc>
          <w:tcPr>
            <w:tcW w:w="167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GTW150-400(I)C</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流量Q175m³/h 扬程H29.5m  功率KW22KW  电压V380V</w:t>
            </w:r>
          </w:p>
        </w:tc>
        <w:tc>
          <w:tcPr>
            <w:tcW w:w="170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CellMar>
            <w:top w:w="0" w:type="dxa"/>
            <w:left w:w="108" w:type="dxa"/>
            <w:bottom w:w="0" w:type="dxa"/>
            <w:right w:w="108" w:type="dxa"/>
          </w:tblCellMar>
        </w:tblPrEx>
        <w:trPr>
          <w:trHeight w:val="780" w:hRule="atLeast"/>
        </w:trPr>
        <w:tc>
          <w:tcPr>
            <w:tcW w:w="1882"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冷却水                                   1号、2号、3号</w:t>
            </w:r>
          </w:p>
        </w:tc>
        <w:tc>
          <w:tcPr>
            <w:tcW w:w="167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GTW300-315A</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流量Q605m³/h 扬程28.2m  功率KW75KW 电压V380V</w:t>
            </w:r>
          </w:p>
        </w:tc>
        <w:tc>
          <w:tcPr>
            <w:tcW w:w="170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r>
      <w:tr>
        <w:tblPrEx>
          <w:tblCellMar>
            <w:top w:w="0" w:type="dxa"/>
            <w:left w:w="108" w:type="dxa"/>
            <w:bottom w:w="0" w:type="dxa"/>
            <w:right w:w="108" w:type="dxa"/>
          </w:tblCellMar>
        </w:tblPrEx>
        <w:trPr>
          <w:trHeight w:val="780" w:hRule="atLeast"/>
        </w:trPr>
        <w:tc>
          <w:tcPr>
            <w:tcW w:w="1882"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冷冻水循环泵                                            1号、2号、3号</w:t>
            </w:r>
          </w:p>
        </w:tc>
        <w:tc>
          <w:tcPr>
            <w:tcW w:w="167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GTW250-315</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流量Q550m³/h 扬程H32m  功率KW75KW  电压V380V</w:t>
            </w:r>
          </w:p>
        </w:tc>
        <w:tc>
          <w:tcPr>
            <w:tcW w:w="170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r>
      <w:tr>
        <w:tblPrEx>
          <w:tblCellMar>
            <w:top w:w="0" w:type="dxa"/>
            <w:left w:w="108" w:type="dxa"/>
            <w:bottom w:w="0" w:type="dxa"/>
            <w:right w:w="108" w:type="dxa"/>
          </w:tblCellMar>
        </w:tblPrEx>
        <w:trPr>
          <w:trHeight w:val="780" w:hRule="atLeast"/>
        </w:trPr>
        <w:tc>
          <w:tcPr>
            <w:tcW w:w="1882"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冷冻水循环泵                                           4号、5号</w:t>
            </w:r>
          </w:p>
        </w:tc>
        <w:tc>
          <w:tcPr>
            <w:tcW w:w="167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GTW125-160</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流量Q166m³/h 扬程H30m  功率KW22KW  电压V380V</w:t>
            </w:r>
          </w:p>
        </w:tc>
        <w:tc>
          <w:tcPr>
            <w:tcW w:w="170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CellMar>
            <w:top w:w="0" w:type="dxa"/>
            <w:left w:w="108" w:type="dxa"/>
            <w:bottom w:w="0" w:type="dxa"/>
            <w:right w:w="108" w:type="dxa"/>
          </w:tblCellMar>
        </w:tblPrEx>
        <w:trPr>
          <w:trHeight w:val="780" w:hRule="atLeast"/>
        </w:trPr>
        <w:tc>
          <w:tcPr>
            <w:tcW w:w="1882"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空调水补水机组                                1号、2号</w:t>
            </w:r>
          </w:p>
        </w:tc>
        <w:tc>
          <w:tcPr>
            <w:tcW w:w="167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CDMF3-15LSWSC</w:t>
            </w:r>
          </w:p>
        </w:tc>
        <w:tc>
          <w:tcPr>
            <w:tcW w:w="312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 3m³/h 扬程H90m  功率KW1.5KW  电压V380V</w:t>
            </w:r>
          </w:p>
        </w:tc>
        <w:tc>
          <w:tcPr>
            <w:tcW w:w="170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CellMar>
            <w:top w:w="0" w:type="dxa"/>
            <w:left w:w="108" w:type="dxa"/>
            <w:bottom w:w="0" w:type="dxa"/>
            <w:right w:w="108" w:type="dxa"/>
          </w:tblCellMar>
        </w:tblPrEx>
        <w:trPr>
          <w:trHeight w:val="780" w:hRule="atLeast"/>
        </w:trPr>
        <w:tc>
          <w:tcPr>
            <w:tcW w:w="9090" w:type="dxa"/>
            <w:gridSpan w:val="6"/>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000000"/>
                <w:kern w:val="0"/>
                <w:sz w:val="16"/>
                <w:szCs w:val="16"/>
                <w:lang w:val="en-US" w:eastAsia="zh-CN"/>
              </w:rPr>
            </w:pPr>
            <w:r>
              <w:rPr>
                <w:rFonts w:hint="eastAsia" w:ascii="宋体" w:hAnsi="宋体" w:cs="宋体"/>
                <w:b/>
                <w:bCs/>
                <w:color w:val="000000"/>
                <w:kern w:val="0"/>
                <w:sz w:val="20"/>
                <w:szCs w:val="20"/>
                <w:lang w:val="en-US" w:eastAsia="zh-CN"/>
              </w:rPr>
              <w:t>其他附属</w:t>
            </w:r>
          </w:p>
        </w:tc>
      </w:tr>
      <w:tr>
        <w:tblPrEx>
          <w:tblCellMar>
            <w:top w:w="0" w:type="dxa"/>
            <w:left w:w="108" w:type="dxa"/>
            <w:bottom w:w="0" w:type="dxa"/>
            <w:right w:w="108" w:type="dxa"/>
          </w:tblCellMar>
        </w:tblPrEx>
        <w:trPr>
          <w:trHeight w:val="780" w:hRule="atLeast"/>
        </w:trPr>
        <w:tc>
          <w:tcPr>
            <w:tcW w:w="18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定压补水装置（套）</w:t>
            </w:r>
          </w:p>
        </w:tc>
        <w:tc>
          <w:tcPr>
            <w:tcW w:w="16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31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17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CellMar>
            <w:top w:w="0" w:type="dxa"/>
            <w:left w:w="108" w:type="dxa"/>
            <w:bottom w:w="0" w:type="dxa"/>
            <w:right w:w="108" w:type="dxa"/>
          </w:tblCellMar>
        </w:tblPrEx>
        <w:trPr>
          <w:trHeight w:val="780" w:hRule="atLeast"/>
        </w:trPr>
        <w:tc>
          <w:tcPr>
            <w:tcW w:w="18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小球在线清洗装置（套）</w:t>
            </w:r>
          </w:p>
        </w:tc>
        <w:tc>
          <w:tcPr>
            <w:tcW w:w="16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31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17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w:t>
            </w:r>
          </w:p>
        </w:tc>
      </w:tr>
      <w:tr>
        <w:tblPrEx>
          <w:tblCellMar>
            <w:top w:w="0" w:type="dxa"/>
            <w:left w:w="108" w:type="dxa"/>
            <w:bottom w:w="0" w:type="dxa"/>
            <w:right w:w="108" w:type="dxa"/>
          </w:tblCellMar>
        </w:tblPrEx>
        <w:trPr>
          <w:trHeight w:val="780" w:hRule="atLeast"/>
        </w:trPr>
        <w:tc>
          <w:tcPr>
            <w:tcW w:w="18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旁通水处理器</w:t>
            </w:r>
          </w:p>
        </w:tc>
        <w:tc>
          <w:tcPr>
            <w:tcW w:w="16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31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电压：220V</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功率：0.6kw</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设备承压：1.6mpa</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适用管经：400mm</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输水管经：40mm</w:t>
            </w:r>
          </w:p>
        </w:tc>
        <w:tc>
          <w:tcPr>
            <w:tcW w:w="17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CellMar>
            <w:top w:w="0" w:type="dxa"/>
            <w:left w:w="108" w:type="dxa"/>
            <w:bottom w:w="0" w:type="dxa"/>
            <w:right w:w="108" w:type="dxa"/>
          </w:tblCellMar>
        </w:tblPrEx>
        <w:trPr>
          <w:trHeight w:val="780" w:hRule="atLeast"/>
        </w:trPr>
        <w:tc>
          <w:tcPr>
            <w:tcW w:w="18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旁通水处理器</w:t>
            </w:r>
          </w:p>
        </w:tc>
        <w:tc>
          <w:tcPr>
            <w:tcW w:w="16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31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电压：220V</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功率：0.9kw</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设备承压：1.6mpa</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适用管经：450mm</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输水管经：40mm</w:t>
            </w:r>
          </w:p>
        </w:tc>
        <w:tc>
          <w:tcPr>
            <w:tcW w:w="17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CellMar>
            <w:top w:w="0" w:type="dxa"/>
            <w:left w:w="108" w:type="dxa"/>
            <w:bottom w:w="0" w:type="dxa"/>
            <w:right w:w="108" w:type="dxa"/>
          </w:tblCellMar>
        </w:tblPrEx>
        <w:trPr>
          <w:trHeight w:val="780" w:hRule="atLeast"/>
        </w:trPr>
        <w:tc>
          <w:tcPr>
            <w:tcW w:w="18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软化水装置（套）</w:t>
            </w:r>
          </w:p>
        </w:tc>
        <w:tc>
          <w:tcPr>
            <w:tcW w:w="16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31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SYS-10RQ，产水量8-10m3/h，40w</w:t>
            </w:r>
            <w:r>
              <w:rPr>
                <w:rFonts w:hint="eastAsia" w:ascii="宋体" w:hAnsi="宋体" w:cs="宋体"/>
                <w:color w:val="000000"/>
                <w:kern w:val="0"/>
                <w:sz w:val="16"/>
                <w:szCs w:val="16"/>
                <w:lang w:eastAsia="zh-CN"/>
              </w:rPr>
              <w:t>（</w:t>
            </w:r>
            <w:r>
              <w:rPr>
                <w:rFonts w:hint="eastAsia" w:ascii="宋体" w:hAnsi="宋体" w:cs="宋体"/>
                <w:color w:val="000000"/>
                <w:kern w:val="0"/>
                <w:sz w:val="16"/>
                <w:szCs w:val="16"/>
                <w:lang w:val="en-US" w:eastAsia="zh-CN"/>
              </w:rPr>
              <w:t>一台树脂罐更换</w:t>
            </w:r>
            <w:r>
              <w:rPr>
                <w:rFonts w:hint="eastAsia" w:ascii="宋体" w:hAnsi="宋体" w:cs="宋体"/>
                <w:color w:val="000000"/>
                <w:kern w:val="0"/>
                <w:sz w:val="16"/>
                <w:szCs w:val="16"/>
                <w:lang w:eastAsia="zh-CN"/>
              </w:rPr>
              <w:t>）</w:t>
            </w:r>
          </w:p>
        </w:tc>
        <w:tc>
          <w:tcPr>
            <w:tcW w:w="17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CellMar>
            <w:top w:w="0" w:type="dxa"/>
            <w:left w:w="108" w:type="dxa"/>
            <w:bottom w:w="0" w:type="dxa"/>
            <w:right w:w="108" w:type="dxa"/>
          </w:tblCellMar>
        </w:tblPrEx>
        <w:trPr>
          <w:trHeight w:val="780" w:hRule="atLeast"/>
        </w:trPr>
        <w:tc>
          <w:tcPr>
            <w:tcW w:w="18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冷却水自动加药装置（套）</w:t>
            </w:r>
          </w:p>
        </w:tc>
        <w:tc>
          <w:tcPr>
            <w:tcW w:w="16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312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更换设备</w:t>
            </w:r>
          </w:p>
        </w:tc>
        <w:tc>
          <w:tcPr>
            <w:tcW w:w="17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CellMar>
            <w:top w:w="0" w:type="dxa"/>
            <w:left w:w="108" w:type="dxa"/>
            <w:bottom w:w="0" w:type="dxa"/>
            <w:right w:w="108" w:type="dxa"/>
          </w:tblCellMar>
        </w:tblPrEx>
        <w:trPr>
          <w:trHeight w:val="780" w:hRule="atLeast"/>
        </w:trPr>
        <w:tc>
          <w:tcPr>
            <w:tcW w:w="18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报告厅新风系统增加4个温度传感器及控制线与自控连接</w:t>
            </w:r>
          </w:p>
        </w:tc>
        <w:tc>
          <w:tcPr>
            <w:tcW w:w="16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312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涉及高空作业，一项</w:t>
            </w:r>
          </w:p>
        </w:tc>
        <w:tc>
          <w:tcPr>
            <w:tcW w:w="17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CellMar>
            <w:top w:w="0" w:type="dxa"/>
            <w:left w:w="108" w:type="dxa"/>
            <w:bottom w:w="0" w:type="dxa"/>
            <w:right w:w="108" w:type="dxa"/>
          </w:tblCellMar>
        </w:tblPrEx>
        <w:trPr>
          <w:trHeight w:val="780" w:hRule="atLeast"/>
        </w:trPr>
        <w:tc>
          <w:tcPr>
            <w:tcW w:w="18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报告厅温控面板及控制线与自控连接</w:t>
            </w:r>
          </w:p>
        </w:tc>
        <w:tc>
          <w:tcPr>
            <w:tcW w:w="16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312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一项</w:t>
            </w:r>
          </w:p>
        </w:tc>
        <w:tc>
          <w:tcPr>
            <w:tcW w:w="17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bl>
    <w:p>
      <w:pPr>
        <w:tabs>
          <w:tab w:val="left" w:pos="8640"/>
        </w:tabs>
        <w:autoSpaceDE w:val="0"/>
        <w:autoSpaceDN w:val="0"/>
        <w:snapToGrid w:val="0"/>
        <w:spacing w:line="360" w:lineRule="auto"/>
        <w:jc w:val="both"/>
        <w:rPr>
          <w:rFonts w:ascii="宋体" w:hAnsi="宋体" w:cs="宋体"/>
          <w:b/>
          <w:bCs/>
          <w:color w:val="000000"/>
          <w:kern w:val="0"/>
          <w:sz w:val="24"/>
        </w:rPr>
      </w:pPr>
    </w:p>
    <w:p>
      <w:pPr>
        <w:tabs>
          <w:tab w:val="left" w:pos="8640"/>
        </w:tabs>
        <w:autoSpaceDE w:val="0"/>
        <w:autoSpaceDN w:val="0"/>
        <w:snapToGrid w:val="0"/>
        <w:spacing w:line="360" w:lineRule="auto"/>
        <w:jc w:val="left"/>
        <w:rPr>
          <w:rFonts w:ascii="宋体" w:hAnsi="宋体" w:cs="宋体"/>
          <w:b/>
          <w:bCs/>
          <w:color w:val="000000"/>
          <w:kern w:val="0"/>
          <w:sz w:val="24"/>
        </w:rPr>
      </w:pPr>
      <w:r>
        <w:rPr>
          <w:rFonts w:hint="eastAsia" w:ascii="宋体" w:hAnsi="宋体" w:cs="宋体"/>
          <w:b/>
          <w:bCs/>
          <w:color w:val="000000"/>
          <w:kern w:val="0"/>
          <w:sz w:val="24"/>
        </w:rPr>
        <w:t>附件三：设备常用备件报价清单（自拟）</w:t>
      </w:r>
    </w:p>
    <w:p>
      <w:pPr>
        <w:tabs>
          <w:tab w:val="left" w:pos="8640"/>
        </w:tabs>
        <w:autoSpaceDE w:val="0"/>
        <w:autoSpaceDN w:val="0"/>
        <w:snapToGrid w:val="0"/>
        <w:spacing w:line="360" w:lineRule="auto"/>
        <w:ind w:firstLine="1205"/>
        <w:jc w:val="left"/>
        <w:rPr>
          <w:rFonts w:ascii="宋体" w:hAnsi="宋体" w:cs="宋体"/>
          <w:b/>
          <w:bCs/>
          <w:color w:val="000000"/>
          <w:kern w:val="0"/>
          <w:sz w:val="24"/>
        </w:rPr>
        <w:sectPr>
          <w:footnotePr>
            <w:numRestart w:val="eachPage"/>
          </w:footnotePr>
          <w:pgSz w:w="11906" w:h="16838"/>
          <w:pgMar w:top="1418" w:right="1418" w:bottom="1418" w:left="1418" w:header="851" w:footer="992" w:gutter="0"/>
          <w:cols w:space="720" w:num="1"/>
        </w:sectPr>
      </w:pPr>
    </w:p>
    <w:p>
      <w:pPr>
        <w:tabs>
          <w:tab w:val="left" w:pos="8640"/>
        </w:tabs>
        <w:autoSpaceDE w:val="0"/>
        <w:autoSpaceDN w:val="0"/>
        <w:snapToGrid w:val="0"/>
        <w:spacing w:line="360" w:lineRule="auto"/>
        <w:jc w:val="left"/>
        <w:rPr>
          <w:rFonts w:ascii="宋体" w:hAnsi="宋体" w:cs="宋体"/>
          <w:b/>
          <w:bCs/>
          <w:color w:val="000000"/>
          <w:kern w:val="0"/>
          <w:sz w:val="24"/>
        </w:rPr>
      </w:pPr>
      <w:r>
        <w:rPr>
          <w:rFonts w:hint="eastAsia" w:ascii="宋体" w:hAnsi="宋体" w:cs="宋体"/>
          <w:b/>
          <w:bCs/>
          <w:color w:val="000000"/>
          <w:kern w:val="0"/>
          <w:sz w:val="24"/>
        </w:rPr>
        <w:t>附件四：维保单位服务评分表</w:t>
      </w:r>
    </w:p>
    <w:p>
      <w:pPr>
        <w:tabs>
          <w:tab w:val="left" w:pos="8640"/>
        </w:tabs>
        <w:autoSpaceDE w:val="0"/>
        <w:autoSpaceDN w:val="0"/>
        <w:snapToGrid w:val="0"/>
        <w:spacing w:line="360" w:lineRule="auto"/>
        <w:ind w:firstLine="1405"/>
        <w:jc w:val="center"/>
        <w:rPr>
          <w:rFonts w:ascii="宋体" w:hAnsi="宋体" w:cs="宋体"/>
          <w:b/>
          <w:bCs/>
          <w:color w:val="000000"/>
          <w:kern w:val="0"/>
          <w:sz w:val="28"/>
          <w:szCs w:val="28"/>
        </w:rPr>
      </w:pPr>
    </w:p>
    <w:p>
      <w:pPr>
        <w:tabs>
          <w:tab w:val="left" w:pos="8640"/>
        </w:tabs>
        <w:autoSpaceDE w:val="0"/>
        <w:autoSpaceDN w:val="0"/>
        <w:snapToGrid w:val="0"/>
        <w:spacing w:line="360" w:lineRule="auto"/>
        <w:ind w:firstLine="1405"/>
        <w:jc w:val="center"/>
        <w:rPr>
          <w:rFonts w:ascii="宋体" w:hAnsi="宋体" w:cs="宋体"/>
          <w:b/>
          <w:bCs/>
          <w:color w:val="000000"/>
          <w:kern w:val="0"/>
          <w:sz w:val="28"/>
          <w:szCs w:val="28"/>
        </w:rPr>
      </w:pPr>
      <w:r>
        <w:rPr>
          <w:rFonts w:hint="eastAsia" w:ascii="宋体" w:hAnsi="宋体" w:cs="宋体"/>
          <w:b/>
          <w:bCs/>
          <w:color w:val="000000"/>
          <w:kern w:val="0"/>
          <w:sz w:val="28"/>
          <w:szCs w:val="28"/>
        </w:rPr>
        <w:t>维保单位服务评分表（月度、季度、年度）</w:t>
      </w:r>
    </w:p>
    <w:tbl>
      <w:tblPr>
        <w:tblStyle w:val="4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2"/>
        <w:gridCol w:w="2160"/>
        <w:gridCol w:w="635"/>
        <w:gridCol w:w="1803"/>
        <w:gridCol w:w="1571"/>
        <w:gridCol w:w="635"/>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维保单位名称</w:t>
            </w:r>
          </w:p>
        </w:tc>
        <w:tc>
          <w:tcPr>
            <w:tcW w:w="400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维保单位负责人</w:t>
            </w:r>
          </w:p>
        </w:tc>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本次服务时间</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11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顾客满意度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比例</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维保服务</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接听维修电话态度</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满意/一般/不满意</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100%/70%/20%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维护保养及维修及时性</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满意/一般/不满意</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100%/70%/20%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问题处理</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重视程度</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满意/一般/不满意</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100%/70%/20%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维修人员的工作态度</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满意/一般/不满意</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100%/70%/20%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维修人员的技术水平</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满意/一般/不满意</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100%/70%/20%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维修工作质量</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满意/一般/不满意</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100%/70%/20%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安全文明措施</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满意/一般/不满意</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100%/70%/20%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工程回访的及时性</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满意/一般/不满意</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100%/70%/20%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综合评价</w:t>
            </w:r>
          </w:p>
        </w:tc>
        <w:tc>
          <w:tcPr>
            <w:tcW w:w="400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甲方维保负责人：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0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0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0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园区工程管理负责人：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0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0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cs="宋体"/>
                <w:i w:val="0"/>
                <w:iCs w:val="0"/>
                <w:color w:val="000000"/>
                <w:kern w:val="0"/>
                <w:sz w:val="22"/>
                <w:szCs w:val="22"/>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综合得分最终值以园区工程管理负责人评分制为准。综合得分值对应相应罚金比例：得分</w:t>
            </w:r>
            <w:r>
              <w:rPr>
                <w:rStyle w:val="235"/>
                <w:lang w:val="en-US" w:eastAsia="zh-CN" w:bidi="ar"/>
              </w:rPr>
              <w:t>ɑ</w:t>
            </w:r>
            <w:r>
              <w:rPr>
                <w:rStyle w:val="236"/>
                <w:lang w:val="en-US" w:eastAsia="zh-CN" w:bidi="ar"/>
              </w:rPr>
              <w:t>≥95分，无处罚；得分80≤ɑ＜95分，处罚合同总额的1%；得分ɑ＜80分，处罚合同总额的3%。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lang w:val="zh-CN"/>
        </w:rPr>
      </w:pPr>
    </w:p>
    <w:p>
      <w:pPr>
        <w:rPr>
          <w:lang w:val="zh-CN"/>
        </w:rPr>
      </w:pPr>
    </w:p>
    <w:p>
      <w:pPr>
        <w:ind w:firstLine="1200"/>
        <w:rPr>
          <w:lang w:val="zh-CN"/>
        </w:rPr>
      </w:pPr>
    </w:p>
    <w:p>
      <w:pPr>
        <w:ind w:firstLine="900"/>
        <w:jc w:val="left"/>
        <w:rPr>
          <w:rFonts w:ascii="宋体" w:hAnsi="宋体" w:cs="宋体"/>
          <w:sz w:val="18"/>
          <w:szCs w:val="18"/>
          <w:lang w:val="zh-CN"/>
        </w:rPr>
      </w:pPr>
      <w:r>
        <w:rPr>
          <w:rFonts w:hint="eastAsia" w:ascii="宋体" w:hAnsi="宋体" w:cs="宋体"/>
          <w:sz w:val="18"/>
          <w:szCs w:val="18"/>
          <w:lang w:val="zh-CN"/>
        </w:rPr>
        <w:t>注：此表格一式</w:t>
      </w:r>
      <w:r>
        <w:rPr>
          <w:rFonts w:hint="eastAsia" w:ascii="宋体" w:hAnsi="宋体" w:cs="宋体"/>
          <w:sz w:val="18"/>
          <w:szCs w:val="18"/>
        </w:rPr>
        <w:t>2</w:t>
      </w:r>
      <w:r>
        <w:rPr>
          <w:rFonts w:hint="eastAsia" w:ascii="宋体" w:hAnsi="宋体" w:cs="宋体"/>
          <w:sz w:val="18"/>
          <w:szCs w:val="18"/>
          <w:lang w:val="zh-CN"/>
        </w:rPr>
        <w:t>分，甲方、维保单位各执一份；此表按</w:t>
      </w:r>
      <w:r>
        <w:rPr>
          <w:rFonts w:hint="eastAsia" w:ascii="宋体" w:hAnsi="宋体" w:cs="宋体"/>
          <w:sz w:val="18"/>
          <w:szCs w:val="18"/>
        </w:rPr>
        <w:t>月度、</w:t>
      </w:r>
      <w:r>
        <w:rPr>
          <w:rFonts w:hint="eastAsia" w:ascii="宋体" w:hAnsi="宋体" w:cs="宋体"/>
          <w:sz w:val="18"/>
          <w:szCs w:val="18"/>
          <w:lang w:val="zh-CN"/>
        </w:rPr>
        <w:t>季度、</w:t>
      </w:r>
      <w:r>
        <w:rPr>
          <w:rFonts w:hint="eastAsia" w:ascii="宋体" w:hAnsi="宋体" w:cs="宋体"/>
          <w:sz w:val="18"/>
          <w:szCs w:val="18"/>
        </w:rPr>
        <w:t>年度和随时维修服务</w:t>
      </w:r>
      <w:r>
        <w:rPr>
          <w:rFonts w:hint="eastAsia" w:ascii="宋体" w:hAnsi="宋体" w:cs="宋体"/>
          <w:sz w:val="18"/>
          <w:szCs w:val="18"/>
          <w:lang w:val="zh-CN"/>
        </w:rPr>
        <w:t>提交甲方。甲方在结算及退维保金时以此表为依据；表格中得分=分值x比例；</w:t>
      </w:r>
    </w:p>
    <w:p>
      <w:pPr>
        <w:ind w:firstLine="900"/>
        <w:jc w:val="left"/>
        <w:rPr>
          <w:rFonts w:ascii="宋体" w:hAnsi="宋体" w:cs="宋体"/>
          <w:sz w:val="18"/>
          <w:szCs w:val="18"/>
          <w:lang w:val="zh-CN"/>
        </w:rPr>
        <w:sectPr>
          <w:footnotePr>
            <w:numRestart w:val="eachPage"/>
          </w:footnotePr>
          <w:pgSz w:w="11906" w:h="16838"/>
          <w:pgMar w:top="1418" w:right="1418" w:bottom="1418" w:left="1418" w:header="851" w:footer="992" w:gutter="0"/>
          <w:cols w:space="720" w:num="1"/>
        </w:sectPr>
      </w:pPr>
    </w:p>
    <w:p>
      <w:pPr>
        <w:pStyle w:val="2"/>
        <w:jc w:val="center"/>
        <w:rPr>
          <w:sz w:val="36"/>
        </w:rPr>
      </w:pPr>
      <w:r>
        <w:rPr>
          <w:rFonts w:hint="eastAsia"/>
          <w:sz w:val="36"/>
        </w:rPr>
        <w:t>第五部分</w:t>
      </w:r>
      <w:r>
        <w:rPr>
          <w:sz w:val="36"/>
        </w:rPr>
        <w:t xml:space="preserve"> </w:t>
      </w:r>
      <w:r>
        <w:rPr>
          <w:rFonts w:hint="eastAsia"/>
          <w:sz w:val="36"/>
        </w:rPr>
        <w:t>采购需求</w:t>
      </w:r>
      <w:bookmarkEnd w:id="163"/>
    </w:p>
    <w:p>
      <w:pPr>
        <w:keepNext w:val="0"/>
        <w:keepLines w:val="0"/>
        <w:pageBreakBefore w:val="0"/>
        <w:widowControl w:val="0"/>
        <w:tabs>
          <w:tab w:val="left" w:pos="8640"/>
        </w:tabs>
        <w:kinsoku/>
        <w:wordWrap/>
        <w:overflowPunct/>
        <w:topLinePunct w:val="0"/>
        <w:autoSpaceDE w:val="0"/>
        <w:autoSpaceDN w:val="0"/>
        <w:bidi w:val="0"/>
        <w:adjustRightInd/>
        <w:snapToGrid w:val="0"/>
        <w:spacing w:line="360" w:lineRule="auto"/>
        <w:ind w:firstLine="482" w:firstLineChars="200"/>
        <w:jc w:val="both"/>
        <w:textAlignment w:val="auto"/>
        <w:rPr>
          <w:rFonts w:ascii="宋体" w:hAnsi="宋体" w:cs="宋体"/>
          <w:b/>
          <w:bCs/>
          <w:color w:val="000000"/>
          <w:kern w:val="0"/>
          <w:sz w:val="24"/>
        </w:rPr>
      </w:pPr>
      <w:bookmarkStart w:id="169" w:name="_Toc534813944"/>
      <w:r>
        <w:rPr>
          <w:rFonts w:hint="eastAsia" w:ascii="宋体" w:hAnsi="宋体" w:cs="宋体"/>
          <w:b/>
          <w:bCs/>
          <w:color w:val="000000"/>
          <w:kern w:val="0"/>
          <w:sz w:val="24"/>
        </w:rPr>
        <w:t>一、空调维保基本情况概述</w:t>
      </w:r>
      <w:bookmarkEnd w:id="169"/>
    </w:p>
    <w:p>
      <w:pPr>
        <w:keepNext w:val="0"/>
        <w:keepLines w:val="0"/>
        <w:pageBreakBefore w:val="0"/>
        <w:widowControl w:val="0"/>
        <w:tabs>
          <w:tab w:val="left" w:pos="8640"/>
        </w:tabs>
        <w:kinsoku/>
        <w:wordWrap/>
        <w:overflowPunct/>
        <w:topLinePunct w:val="0"/>
        <w:autoSpaceDE w:val="0"/>
        <w:autoSpaceDN w:val="0"/>
        <w:bidi w:val="0"/>
        <w:adjustRightInd/>
        <w:snapToGrid w:val="0"/>
        <w:spacing w:line="360" w:lineRule="auto"/>
        <w:ind w:firstLine="480" w:firstLineChars="200"/>
        <w:jc w:val="both"/>
        <w:textAlignment w:val="auto"/>
        <w:rPr>
          <w:rFonts w:ascii="宋体" w:hAnsi="宋体" w:cs="宋体"/>
          <w:color w:val="000000"/>
          <w:kern w:val="0"/>
          <w:sz w:val="24"/>
        </w:rPr>
      </w:pPr>
      <w:r>
        <w:rPr>
          <w:rFonts w:hint="eastAsia" w:ascii="宋体" w:hAnsi="宋体" w:cs="宋体"/>
          <w:color w:val="000000"/>
          <w:kern w:val="0"/>
          <w:sz w:val="24"/>
        </w:rPr>
        <w:t>目前园区需制冷服务区域总面积约为：61200平米（主要为科研楼一至六层、孵化楼、食堂一至三层）。</w:t>
      </w:r>
    </w:p>
    <w:p>
      <w:pPr>
        <w:keepNext w:val="0"/>
        <w:keepLines w:val="0"/>
        <w:pageBreakBefore w:val="0"/>
        <w:widowControl w:val="0"/>
        <w:tabs>
          <w:tab w:val="left" w:pos="8640"/>
        </w:tabs>
        <w:kinsoku/>
        <w:wordWrap/>
        <w:overflowPunct/>
        <w:topLinePunct w:val="0"/>
        <w:autoSpaceDE w:val="0"/>
        <w:autoSpaceDN w:val="0"/>
        <w:bidi w:val="0"/>
        <w:adjustRightInd/>
        <w:snapToGrid w:val="0"/>
        <w:spacing w:line="360" w:lineRule="auto"/>
        <w:ind w:firstLine="480" w:firstLineChars="200"/>
        <w:jc w:val="both"/>
        <w:textAlignment w:val="auto"/>
        <w:rPr>
          <w:rFonts w:ascii="宋体" w:hAnsi="宋体" w:cs="宋体"/>
          <w:color w:val="000000"/>
          <w:kern w:val="0"/>
          <w:sz w:val="24"/>
        </w:rPr>
      </w:pPr>
      <w:r>
        <w:rPr>
          <w:rFonts w:hint="eastAsia" w:ascii="宋体" w:hAnsi="宋体" w:cs="宋体"/>
          <w:color w:val="000000"/>
          <w:kern w:val="0"/>
          <w:sz w:val="24"/>
        </w:rPr>
        <w:t>园区空调制冷系统主要包括制冷机组、冷却水系统、冷冻水系统、软化水系统、补水系统、水质处理系统、室内新风机组、风机盘管、分体空调多联机、冷凝水回收系统风冷机组等、是一项专业性很强的机电运行、维护、保养体系，需要具有专业维保能力及资质的维保商进行专业维保。</w:t>
      </w:r>
    </w:p>
    <w:p>
      <w:pPr>
        <w:keepNext w:val="0"/>
        <w:keepLines w:val="0"/>
        <w:pageBreakBefore w:val="0"/>
        <w:widowControl w:val="0"/>
        <w:tabs>
          <w:tab w:val="left" w:pos="8640"/>
        </w:tabs>
        <w:kinsoku/>
        <w:wordWrap/>
        <w:overflowPunct/>
        <w:topLinePunct w:val="0"/>
        <w:autoSpaceDE w:val="0"/>
        <w:autoSpaceDN w:val="0"/>
        <w:bidi w:val="0"/>
        <w:adjustRightInd/>
        <w:snapToGrid w:val="0"/>
        <w:spacing w:line="360" w:lineRule="auto"/>
        <w:ind w:firstLine="480" w:firstLineChars="200"/>
        <w:jc w:val="both"/>
        <w:textAlignment w:val="auto"/>
        <w:rPr>
          <w:rFonts w:ascii="宋体" w:hAnsi="宋体" w:cs="宋体"/>
          <w:color w:val="000000"/>
          <w:kern w:val="0"/>
          <w:sz w:val="24"/>
        </w:rPr>
      </w:pPr>
      <w:r>
        <w:rPr>
          <w:rFonts w:hint="eastAsia" w:ascii="宋体" w:hAnsi="宋体" w:cs="宋体"/>
          <w:color w:val="000000"/>
          <w:kern w:val="0"/>
          <w:sz w:val="24"/>
        </w:rPr>
        <w:t>园区空调制冷系统自2</w:t>
      </w:r>
      <w:r>
        <w:rPr>
          <w:rFonts w:ascii="宋体" w:hAnsi="宋体" w:cs="宋体"/>
          <w:color w:val="000000"/>
          <w:kern w:val="0"/>
          <w:sz w:val="24"/>
        </w:rPr>
        <w:t>020</w:t>
      </w:r>
      <w:r>
        <w:rPr>
          <w:rFonts w:hint="eastAsia" w:ascii="宋体" w:hAnsi="宋体" w:cs="宋体"/>
          <w:color w:val="000000"/>
          <w:kern w:val="0"/>
          <w:sz w:val="24"/>
        </w:rPr>
        <w:t>年启用，系统组成：主机为一台特灵螺杆机及两台特灵离心机，冷冻冷却泵补水泵等，保障洁净区冬季运行使用的风冷机组，网络服务器机房海信精密空调，配电室大金空调机组，分配电室空调，弱电竖井空调，分体空调多联机等。</w:t>
      </w:r>
    </w:p>
    <w:p>
      <w:pPr>
        <w:keepNext w:val="0"/>
        <w:keepLines w:val="0"/>
        <w:pageBreakBefore w:val="0"/>
        <w:widowControl w:val="0"/>
        <w:tabs>
          <w:tab w:val="left" w:pos="8640"/>
        </w:tabs>
        <w:kinsoku/>
        <w:wordWrap/>
        <w:overflowPunct/>
        <w:topLinePunct w:val="0"/>
        <w:autoSpaceDE w:val="0"/>
        <w:autoSpaceDN w:val="0"/>
        <w:bidi w:val="0"/>
        <w:adjustRightInd/>
        <w:snapToGrid w:val="0"/>
        <w:spacing w:line="360" w:lineRule="auto"/>
        <w:ind w:left="0" w:firstLine="482" w:firstLineChars="200"/>
        <w:jc w:val="both"/>
        <w:textAlignment w:val="auto"/>
        <w:rPr>
          <w:rFonts w:ascii="宋体" w:hAnsi="宋体" w:cs="宋体"/>
          <w:b/>
          <w:bCs/>
          <w:color w:val="000000"/>
          <w:kern w:val="0"/>
          <w:sz w:val="24"/>
        </w:rPr>
      </w:pPr>
      <w:r>
        <w:rPr>
          <w:rFonts w:hint="eastAsia" w:ascii="宋体" w:hAnsi="宋体" w:cs="宋体"/>
          <w:b/>
          <w:bCs/>
          <w:color w:val="000000"/>
          <w:kern w:val="0"/>
          <w:sz w:val="24"/>
        </w:rPr>
        <w:t>二、服务清单：</w:t>
      </w:r>
    </w:p>
    <w:p>
      <w:pPr>
        <w:keepNext w:val="0"/>
        <w:keepLines w:val="0"/>
        <w:pageBreakBefore w:val="0"/>
        <w:widowControl w:val="0"/>
        <w:tabs>
          <w:tab w:val="left" w:pos="8640"/>
        </w:tabs>
        <w:kinsoku/>
        <w:wordWrap/>
        <w:overflowPunct/>
        <w:topLinePunct w:val="0"/>
        <w:autoSpaceDE w:val="0"/>
        <w:autoSpaceDN w:val="0"/>
        <w:bidi w:val="0"/>
        <w:adjustRightInd/>
        <w:snapToGrid w:val="0"/>
        <w:spacing w:line="360" w:lineRule="auto"/>
        <w:ind w:left="0" w:firstLine="482" w:firstLineChars="200"/>
        <w:jc w:val="both"/>
        <w:textAlignment w:val="auto"/>
        <w:rPr>
          <w:rFonts w:ascii="宋体" w:hAnsi="宋体" w:cs="宋体"/>
          <w:b/>
          <w:bCs/>
          <w:color w:val="000000"/>
          <w:kern w:val="0"/>
          <w:sz w:val="24"/>
        </w:rPr>
      </w:pPr>
      <w:r>
        <w:rPr>
          <w:rFonts w:hint="eastAsia" w:ascii="宋体" w:hAnsi="宋体" w:cs="宋体"/>
          <w:b/>
          <w:bCs/>
          <w:color w:val="000000"/>
          <w:kern w:val="0"/>
          <w:sz w:val="24"/>
        </w:rPr>
        <w:t>（一）服务清单</w:t>
      </w:r>
    </w:p>
    <w:p>
      <w:pPr>
        <w:keepNext w:val="0"/>
        <w:keepLines w:val="0"/>
        <w:pageBreakBefore w:val="0"/>
        <w:widowControl w:val="0"/>
        <w:tabs>
          <w:tab w:val="left" w:pos="8640"/>
        </w:tabs>
        <w:kinsoku/>
        <w:wordWrap/>
        <w:overflowPunct/>
        <w:topLinePunct w:val="0"/>
        <w:autoSpaceDE w:val="0"/>
        <w:autoSpaceDN w:val="0"/>
        <w:bidi w:val="0"/>
        <w:adjustRightInd/>
        <w:snapToGrid w:val="0"/>
        <w:spacing w:line="360" w:lineRule="auto"/>
        <w:ind w:left="0" w:firstLine="48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rPr>
        <w:t>1</w:t>
      </w:r>
      <w:r>
        <w:rPr>
          <w:rFonts w:ascii="宋体" w:hAnsi="宋体" w:cs="宋体"/>
          <w:b/>
          <w:bCs/>
          <w:color w:val="000000"/>
          <w:kern w:val="0"/>
          <w:sz w:val="24"/>
        </w:rPr>
        <w:t>.1</w:t>
      </w:r>
      <w:r>
        <w:rPr>
          <w:rFonts w:hint="eastAsia" w:ascii="宋体" w:hAnsi="宋体" w:cs="宋体"/>
          <w:b/>
          <w:bCs/>
          <w:color w:val="000000"/>
          <w:kern w:val="0"/>
          <w:sz w:val="24"/>
        </w:rPr>
        <w:t>、水处理服务</w:t>
      </w:r>
    </w:p>
    <w:tbl>
      <w:tblPr>
        <w:tblStyle w:val="4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14"/>
        <w:gridCol w:w="3663"/>
        <w:gridCol w:w="851"/>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6"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914"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项目类别</w:t>
            </w: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服务内容</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数量</w:t>
            </w:r>
          </w:p>
        </w:tc>
        <w:tc>
          <w:tcPr>
            <w:tcW w:w="1418" w:type="dxa"/>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p>
        </w:tc>
        <w:tc>
          <w:tcPr>
            <w:tcW w:w="1914"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冷却系统</w:t>
            </w: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军团菌检测(CMA)</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份</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固体杀菌剂</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KG</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450</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KG/</w:t>
            </w:r>
            <w:r>
              <w:rPr>
                <w:rFonts w:hint="eastAsia" w:ascii="宋体" w:hAnsi="宋体" w:cs="宋体"/>
                <w:color w:val="000000"/>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缓蚀阻垢剂</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KG</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1350</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9KG/</w:t>
            </w:r>
            <w:r>
              <w:rPr>
                <w:rFonts w:hint="eastAsia" w:ascii="宋体" w:hAnsi="宋体" w:cs="宋体"/>
                <w:color w:val="000000"/>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杀菌灭藻剂</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KG</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450</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KG/</w:t>
            </w:r>
            <w:r>
              <w:rPr>
                <w:rFonts w:hint="eastAsia" w:ascii="宋体" w:hAnsi="宋体" w:cs="宋体"/>
                <w:color w:val="000000"/>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水处理清洗预膜保养</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次</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取样检测系统巡检</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次</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6</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w:t>
            </w:r>
          </w:p>
        </w:tc>
        <w:tc>
          <w:tcPr>
            <w:tcW w:w="1914" w:type="dxa"/>
            <w:shd w:val="clear" w:color="auto" w:fill="auto"/>
            <w:vAlign w:val="center"/>
          </w:tcPr>
          <w:p>
            <w:pPr>
              <w:tabs>
                <w:tab w:val="left" w:pos="8640"/>
              </w:tabs>
              <w:autoSpaceDE w:val="0"/>
              <w:autoSpaceDN w:val="0"/>
              <w:snapToGrid w:val="0"/>
              <w:jc w:val="left"/>
              <w:rPr>
                <w:rFonts w:ascii="宋体" w:hAnsi="宋体" w:cs="宋体"/>
                <w:color w:val="000000"/>
                <w:kern w:val="0"/>
                <w:sz w:val="22"/>
                <w:szCs w:val="22"/>
              </w:rPr>
            </w:pPr>
            <w:r>
              <w:rPr>
                <w:rFonts w:hint="eastAsia" w:ascii="宋体" w:hAnsi="宋体" w:cs="宋体"/>
                <w:color w:val="000000"/>
                <w:kern w:val="0"/>
                <w:sz w:val="22"/>
                <w:szCs w:val="22"/>
              </w:rPr>
              <w:t>空调系统水泵检修</w:t>
            </w:r>
          </w:p>
        </w:tc>
        <w:tc>
          <w:tcPr>
            <w:tcW w:w="3663" w:type="dxa"/>
            <w:shd w:val="clear" w:color="auto" w:fill="auto"/>
            <w:vAlign w:val="center"/>
          </w:tcPr>
          <w:p>
            <w:pPr>
              <w:tabs>
                <w:tab w:val="left" w:pos="8640"/>
              </w:tabs>
              <w:autoSpaceDE w:val="0"/>
              <w:autoSpaceDN w:val="0"/>
              <w:snapToGrid w:val="0"/>
              <w:jc w:val="left"/>
              <w:rPr>
                <w:rFonts w:ascii="宋体" w:hAnsi="宋体" w:cs="宋体"/>
                <w:color w:val="000000"/>
                <w:kern w:val="0"/>
                <w:sz w:val="22"/>
                <w:szCs w:val="22"/>
              </w:rPr>
            </w:pPr>
            <w:r>
              <w:rPr>
                <w:rFonts w:hint="eastAsia" w:ascii="宋体" w:hAnsi="宋体" w:cs="宋体"/>
                <w:color w:val="000000"/>
                <w:kern w:val="0"/>
                <w:sz w:val="22"/>
                <w:szCs w:val="22"/>
              </w:rPr>
              <w:t>冷冻泵冷却泵补水泵设备及电机等检修维护</w:t>
            </w:r>
          </w:p>
        </w:tc>
        <w:tc>
          <w:tcPr>
            <w:tcW w:w="851" w:type="dxa"/>
            <w:shd w:val="clear" w:color="auto" w:fill="auto"/>
            <w:vAlign w:val="center"/>
          </w:tcPr>
          <w:p>
            <w:pPr>
              <w:tabs>
                <w:tab w:val="left" w:pos="8640"/>
              </w:tabs>
              <w:autoSpaceDE w:val="0"/>
              <w:autoSpaceDN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50" w:type="dxa"/>
            <w:shd w:val="clear" w:color="auto" w:fill="auto"/>
            <w:vAlign w:val="center"/>
          </w:tcPr>
          <w:p>
            <w:pPr>
              <w:tabs>
                <w:tab w:val="left" w:pos="8640"/>
              </w:tabs>
              <w:autoSpaceDE w:val="0"/>
              <w:autoSpaceDN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18" w:type="dxa"/>
            <w:vAlign w:val="center"/>
          </w:tcPr>
          <w:p>
            <w:pPr>
              <w:tabs>
                <w:tab w:val="left" w:pos="8640"/>
              </w:tabs>
              <w:autoSpaceDE w:val="0"/>
              <w:autoSpaceDN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3</w:t>
            </w:r>
          </w:p>
        </w:tc>
        <w:tc>
          <w:tcPr>
            <w:tcW w:w="1914"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冷却塔检修保养</w:t>
            </w: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冷却塔附件维护保养</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台</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更换皮带</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根</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12</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检查电机</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项</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减速机、电机注润滑油</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项</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bl>
    <w:p>
      <w:pPr>
        <w:tabs>
          <w:tab w:val="left" w:pos="8640"/>
        </w:tabs>
        <w:autoSpaceDE w:val="0"/>
        <w:autoSpaceDN w:val="0"/>
        <w:snapToGrid w:val="0"/>
        <w:spacing w:line="360" w:lineRule="auto"/>
        <w:jc w:val="left"/>
        <w:rPr>
          <w:rFonts w:hint="eastAsia" w:ascii="宋体" w:hAnsi="宋体" w:cs="宋体"/>
          <w:b/>
          <w:bCs/>
          <w:color w:val="000000"/>
          <w:kern w:val="0"/>
          <w:sz w:val="24"/>
        </w:rPr>
      </w:pPr>
    </w:p>
    <w:p>
      <w:pPr>
        <w:pStyle w:val="82"/>
        <w:tabs>
          <w:tab w:val="left" w:pos="8640"/>
        </w:tabs>
        <w:autoSpaceDE w:val="0"/>
        <w:autoSpaceDN w:val="0"/>
        <w:snapToGrid w:val="0"/>
        <w:spacing w:line="360" w:lineRule="auto"/>
        <w:ind w:left="360" w:firstLine="0" w:firstLineChars="0"/>
        <w:jc w:val="left"/>
        <w:rPr>
          <w:rFonts w:ascii="宋体" w:hAnsi="宋体" w:cs="宋体"/>
          <w:b/>
          <w:bCs/>
          <w:color w:val="000000"/>
          <w:kern w:val="0"/>
          <w:sz w:val="24"/>
        </w:rPr>
      </w:pPr>
      <w:r>
        <w:rPr>
          <w:rFonts w:hint="eastAsia" w:ascii="宋体" w:hAnsi="宋体" w:cs="宋体"/>
          <w:b/>
          <w:bCs/>
          <w:color w:val="000000"/>
          <w:kern w:val="0"/>
          <w:sz w:val="24"/>
        </w:rPr>
        <w:t>1.2水系统维修保养服务范围</w:t>
      </w:r>
    </w:p>
    <w:p>
      <w:pPr>
        <w:spacing w:line="360" w:lineRule="auto"/>
        <w:ind w:left="1020" w:leftChars="200" w:hanging="600" w:hangingChars="250"/>
        <w:jc w:val="left"/>
        <w:rPr>
          <w:rFonts w:ascii="宋体" w:hAnsi="宋体"/>
          <w:sz w:val="24"/>
        </w:rPr>
      </w:pPr>
      <w:r>
        <w:rPr>
          <w:rFonts w:hint="eastAsia" w:ascii="宋体" w:hAnsi="宋体"/>
          <w:sz w:val="24"/>
        </w:rPr>
        <w:t>服务内容包含但不限于以下服务：</w:t>
      </w:r>
    </w:p>
    <w:p>
      <w:pPr>
        <w:spacing w:line="360" w:lineRule="auto"/>
        <w:ind w:left="1020" w:leftChars="200" w:hanging="600" w:hangingChars="250"/>
        <w:jc w:val="left"/>
        <w:rPr>
          <w:rFonts w:ascii="宋体" w:hAnsi="宋体"/>
          <w:sz w:val="24"/>
        </w:rPr>
      </w:pPr>
      <w:r>
        <w:rPr>
          <w:rFonts w:hint="eastAsia" w:ascii="宋体" w:hAnsi="宋体"/>
          <w:sz w:val="24"/>
        </w:rPr>
        <w:t>1.2.1制冷主机的维护保养（含更换润滑油、冷冻机油、冷媒系统及滤芯）</w:t>
      </w:r>
    </w:p>
    <w:p>
      <w:pPr>
        <w:spacing w:line="360" w:lineRule="auto"/>
        <w:ind w:left="1020" w:leftChars="200" w:hanging="600" w:hangingChars="250"/>
        <w:jc w:val="left"/>
        <w:rPr>
          <w:rFonts w:ascii="宋体" w:hAnsi="宋体"/>
          <w:sz w:val="24"/>
        </w:rPr>
      </w:pPr>
      <w:r>
        <w:rPr>
          <w:rFonts w:hint="eastAsia" w:ascii="宋体" w:hAnsi="宋体"/>
          <w:sz w:val="24"/>
        </w:rPr>
        <w:t>1.2.2冷却塔维修、维护保养及填料清洗工作</w:t>
      </w:r>
    </w:p>
    <w:p>
      <w:pPr>
        <w:spacing w:line="360" w:lineRule="auto"/>
        <w:ind w:left="1020" w:leftChars="200" w:hanging="600" w:hangingChars="250"/>
        <w:jc w:val="left"/>
        <w:rPr>
          <w:rFonts w:ascii="宋体" w:hAnsi="宋体"/>
          <w:sz w:val="24"/>
        </w:rPr>
      </w:pPr>
      <w:r>
        <w:rPr>
          <w:rFonts w:hint="eastAsia" w:ascii="宋体" w:hAnsi="宋体"/>
          <w:sz w:val="24"/>
        </w:rPr>
        <w:t>1.2.3组合式空调机组维护清洗及保养</w:t>
      </w:r>
    </w:p>
    <w:p>
      <w:pPr>
        <w:spacing w:line="360" w:lineRule="auto"/>
        <w:ind w:left="1020" w:leftChars="200" w:hanging="600" w:hangingChars="250"/>
        <w:jc w:val="left"/>
        <w:rPr>
          <w:rFonts w:ascii="宋体" w:hAnsi="宋体"/>
          <w:sz w:val="24"/>
        </w:rPr>
      </w:pPr>
      <w:r>
        <w:rPr>
          <w:rFonts w:hint="eastAsia" w:ascii="宋体" w:hAnsi="宋体"/>
          <w:sz w:val="24"/>
        </w:rPr>
        <w:t>1.2.4冷却水、冷冻水及热源侧等水泵检修</w:t>
      </w:r>
    </w:p>
    <w:p>
      <w:pPr>
        <w:spacing w:line="360" w:lineRule="auto"/>
        <w:ind w:left="1020" w:leftChars="200" w:hanging="600" w:hangingChars="250"/>
        <w:jc w:val="left"/>
        <w:rPr>
          <w:rFonts w:ascii="宋体" w:hAnsi="宋体"/>
          <w:sz w:val="24"/>
        </w:rPr>
      </w:pPr>
      <w:r>
        <w:rPr>
          <w:rFonts w:hint="eastAsia" w:ascii="宋体" w:hAnsi="宋体"/>
          <w:sz w:val="24"/>
        </w:rPr>
        <w:t>1.2.5空调系统其他附属设备的维护保养</w:t>
      </w:r>
    </w:p>
    <w:p>
      <w:pPr>
        <w:spacing w:line="360" w:lineRule="auto"/>
        <w:ind w:left="1020" w:leftChars="200" w:hanging="600" w:hangingChars="250"/>
        <w:jc w:val="left"/>
        <w:rPr>
          <w:rFonts w:ascii="宋体" w:hAnsi="宋体"/>
          <w:sz w:val="24"/>
        </w:rPr>
      </w:pPr>
      <w:r>
        <w:rPr>
          <w:rFonts w:hint="eastAsia" w:ascii="宋体" w:hAnsi="宋体"/>
          <w:sz w:val="24"/>
        </w:rPr>
        <w:t>1.2.6风机盘管、精密空调、VRV多联式空调系统的维护保养</w:t>
      </w:r>
    </w:p>
    <w:p>
      <w:pPr>
        <w:spacing w:line="360" w:lineRule="auto"/>
        <w:ind w:left="1020" w:leftChars="200" w:hanging="600" w:hangingChars="250"/>
        <w:jc w:val="left"/>
        <w:rPr>
          <w:rFonts w:ascii="宋体" w:hAnsi="宋体"/>
          <w:sz w:val="24"/>
        </w:rPr>
      </w:pPr>
      <w:r>
        <w:rPr>
          <w:rFonts w:hint="eastAsia" w:ascii="宋体" w:hAnsi="宋体"/>
          <w:sz w:val="24"/>
        </w:rPr>
        <w:t>1.2.7水系统加药、除垢、清洗等工作</w:t>
      </w:r>
    </w:p>
    <w:p>
      <w:pPr>
        <w:spacing w:line="360" w:lineRule="auto"/>
        <w:ind w:left="1020" w:leftChars="200" w:hanging="600" w:hangingChars="250"/>
        <w:jc w:val="left"/>
        <w:rPr>
          <w:rFonts w:ascii="宋体" w:hAnsi="宋体"/>
          <w:sz w:val="24"/>
        </w:rPr>
      </w:pPr>
      <w:r>
        <w:rPr>
          <w:rFonts w:hint="eastAsia" w:ascii="宋体" w:hAnsi="宋体"/>
          <w:sz w:val="24"/>
        </w:rPr>
        <w:t>1.2.8空调水系统管路阀门等的排查检修</w:t>
      </w:r>
    </w:p>
    <w:p>
      <w:pPr>
        <w:spacing w:line="360" w:lineRule="auto"/>
        <w:ind w:left="1020" w:leftChars="200" w:hanging="600" w:hangingChars="250"/>
        <w:jc w:val="left"/>
        <w:rPr>
          <w:rFonts w:ascii="宋体" w:hAnsi="宋体"/>
          <w:sz w:val="24"/>
        </w:rPr>
      </w:pPr>
      <w:r>
        <w:rPr>
          <w:rFonts w:hint="eastAsia" w:ascii="宋体" w:hAnsi="宋体"/>
          <w:sz w:val="24"/>
        </w:rPr>
        <w:t>1.2.9水系统过滤器清洗维护</w:t>
      </w:r>
    </w:p>
    <w:p>
      <w:pPr>
        <w:pStyle w:val="82"/>
        <w:tabs>
          <w:tab w:val="left" w:pos="8640"/>
        </w:tabs>
        <w:autoSpaceDE w:val="0"/>
        <w:autoSpaceDN w:val="0"/>
        <w:snapToGrid w:val="0"/>
        <w:spacing w:line="360" w:lineRule="auto"/>
        <w:ind w:left="360" w:firstLine="0" w:firstLineChars="0"/>
        <w:jc w:val="left"/>
        <w:rPr>
          <w:rFonts w:ascii="宋体" w:hAnsi="宋体"/>
          <w:sz w:val="24"/>
        </w:rPr>
      </w:pPr>
      <w:r>
        <w:rPr>
          <w:rFonts w:hint="eastAsia" w:ascii="宋体" w:hAnsi="宋体"/>
          <w:sz w:val="24"/>
        </w:rPr>
        <w:t>1.2.10提供第三方水质检测报告；</w:t>
      </w:r>
    </w:p>
    <w:p>
      <w:pPr>
        <w:pStyle w:val="82"/>
        <w:tabs>
          <w:tab w:val="left" w:pos="8640"/>
        </w:tabs>
        <w:autoSpaceDE w:val="0"/>
        <w:autoSpaceDN w:val="0"/>
        <w:snapToGrid w:val="0"/>
        <w:spacing w:line="360" w:lineRule="auto"/>
        <w:ind w:left="360" w:firstLine="0" w:firstLineChars="0"/>
        <w:jc w:val="left"/>
        <w:rPr>
          <w:rFonts w:ascii="宋体" w:hAnsi="宋体" w:cs="宋体"/>
          <w:b/>
          <w:bCs/>
          <w:color w:val="000000"/>
          <w:kern w:val="0"/>
          <w:sz w:val="24"/>
        </w:rPr>
      </w:pPr>
      <w:r>
        <w:rPr>
          <w:rFonts w:hint="eastAsia" w:ascii="宋体" w:hAnsi="宋体" w:cs="宋体"/>
          <w:b/>
          <w:bCs/>
          <w:color w:val="000000"/>
          <w:kern w:val="0"/>
          <w:sz w:val="24"/>
        </w:rPr>
        <w:t>1.3 服务工作要求</w:t>
      </w:r>
    </w:p>
    <w:p>
      <w:pPr>
        <w:spacing w:line="360" w:lineRule="auto"/>
        <w:ind w:firstLine="480" w:firstLineChars="200"/>
        <w:jc w:val="left"/>
        <w:rPr>
          <w:rFonts w:ascii="宋体" w:hAnsi="宋体"/>
          <w:sz w:val="24"/>
        </w:rPr>
      </w:pPr>
      <w:r>
        <w:rPr>
          <w:rFonts w:hint="eastAsia" w:ascii="宋体" w:hAnsi="宋体"/>
          <w:sz w:val="24"/>
        </w:rPr>
        <w:t>1.3.1、水质处理采用药剂法，每年制冷机开机前对冷却水进行清洗、预膜，及水循环期间定期对循环水系统进行阻垢防锈、杀菌灭藻、排泥等处理。</w:t>
      </w:r>
    </w:p>
    <w:p>
      <w:pPr>
        <w:spacing w:line="360" w:lineRule="auto"/>
        <w:ind w:firstLine="480" w:firstLineChars="200"/>
        <w:jc w:val="left"/>
        <w:rPr>
          <w:rFonts w:ascii="宋体" w:hAnsi="宋体"/>
          <w:sz w:val="24"/>
        </w:rPr>
      </w:pPr>
      <w:r>
        <w:rPr>
          <w:rFonts w:hint="eastAsia" w:ascii="宋体" w:hAnsi="宋体"/>
          <w:sz w:val="24"/>
        </w:rPr>
        <w:t>1.3.2、了解待处理的循环水的系统结构、循环水水质、设备及管路（冷水机组、冷却水塔、泵、空调末端等）等所有配件的材质等，分析以上因素制定针对性的、独立的水处理技术方案和施工计划，甲方批准后实施。</w:t>
      </w:r>
    </w:p>
    <w:p>
      <w:pPr>
        <w:spacing w:line="360" w:lineRule="auto"/>
        <w:ind w:firstLine="480" w:firstLineChars="200"/>
        <w:jc w:val="left"/>
        <w:rPr>
          <w:rFonts w:ascii="宋体" w:hAnsi="宋体"/>
          <w:sz w:val="24"/>
        </w:rPr>
      </w:pPr>
      <w:r>
        <w:rPr>
          <w:rFonts w:hint="eastAsia" w:ascii="宋体" w:hAnsi="宋体"/>
          <w:sz w:val="24"/>
        </w:rPr>
        <w:t>1.3.3、提供合同中约定的水处理药剂（下称“药剂”）；</w:t>
      </w:r>
    </w:p>
    <w:p>
      <w:pPr>
        <w:spacing w:line="360" w:lineRule="auto"/>
        <w:ind w:firstLine="480" w:firstLineChars="200"/>
        <w:jc w:val="left"/>
        <w:rPr>
          <w:rFonts w:ascii="宋体" w:hAnsi="宋体"/>
          <w:sz w:val="24"/>
        </w:rPr>
      </w:pPr>
      <w:r>
        <w:rPr>
          <w:rFonts w:hint="eastAsia" w:ascii="宋体" w:hAnsi="宋体"/>
          <w:sz w:val="24"/>
        </w:rPr>
        <w:t>1.3.4、提供水冷机组水质保养及清洗服务所必需的药剂，其中包括清洗剂、预膜剂、缓蚀阻垢剂、杀菌剂、等全部药剂及加药工作，药剂费用由投标人承担，药剂供应时将提供质量合格证及相关证明。所有药剂均不会对循环水的设备及管路有损害，并保证排放水达到相关环保要求，如有违反按违约处理。</w:t>
      </w:r>
    </w:p>
    <w:p>
      <w:pPr>
        <w:spacing w:line="360" w:lineRule="auto"/>
        <w:ind w:firstLine="480" w:firstLineChars="200"/>
        <w:jc w:val="left"/>
        <w:rPr>
          <w:rFonts w:ascii="宋体" w:hAnsi="宋体"/>
          <w:sz w:val="24"/>
        </w:rPr>
      </w:pPr>
      <w:r>
        <w:rPr>
          <w:rFonts w:hint="eastAsia" w:ascii="宋体" w:hAnsi="宋体"/>
          <w:sz w:val="24"/>
        </w:rPr>
        <w:t>1.3.5、制冷机开机前，对管路系统进行清洗、预膜；运行期间，定期加药进行水质稳定处理，并根据水质分析结果和气温变化情况及时调整药剂配方和调节水质。</w:t>
      </w:r>
    </w:p>
    <w:p>
      <w:pPr>
        <w:spacing w:line="360" w:lineRule="auto"/>
        <w:ind w:firstLine="480" w:firstLineChars="200"/>
        <w:jc w:val="left"/>
        <w:rPr>
          <w:rFonts w:ascii="宋体" w:hAnsi="宋体"/>
          <w:sz w:val="24"/>
        </w:rPr>
      </w:pPr>
      <w:r>
        <w:rPr>
          <w:rFonts w:hint="eastAsia" w:ascii="宋体" w:hAnsi="宋体"/>
          <w:sz w:val="24"/>
        </w:rPr>
        <w:t>1.3.6、提供软化设备维护（负责软化水盐的供应）和水质化验工作；</w:t>
      </w:r>
    </w:p>
    <w:p>
      <w:pPr>
        <w:spacing w:line="360" w:lineRule="auto"/>
        <w:ind w:firstLine="480" w:firstLineChars="200"/>
        <w:jc w:val="left"/>
        <w:rPr>
          <w:rFonts w:ascii="宋体" w:hAnsi="宋体"/>
          <w:sz w:val="24"/>
        </w:rPr>
      </w:pPr>
      <w:r>
        <w:rPr>
          <w:rFonts w:hint="eastAsia" w:ascii="宋体" w:hAnsi="宋体"/>
          <w:sz w:val="24"/>
        </w:rPr>
        <w:t>1.3.7、提供冷却自动加药设备维护及相关附属备件；</w:t>
      </w:r>
    </w:p>
    <w:p>
      <w:pPr>
        <w:spacing w:line="360" w:lineRule="auto"/>
        <w:ind w:firstLine="480" w:firstLineChars="200"/>
        <w:jc w:val="left"/>
        <w:rPr>
          <w:rFonts w:ascii="宋体" w:hAnsi="宋体"/>
          <w:sz w:val="24"/>
        </w:rPr>
      </w:pPr>
      <w:r>
        <w:rPr>
          <w:rFonts w:hint="eastAsia" w:ascii="宋体" w:hAnsi="宋体"/>
          <w:sz w:val="24"/>
        </w:rPr>
        <w:t>1.3.8、供冷季期间提供冷却、冷冻水系统每周取水样一次，提供周化验报告；软化水每半月取水样一次，提供化验报告；</w:t>
      </w:r>
    </w:p>
    <w:p>
      <w:pPr>
        <w:spacing w:line="360" w:lineRule="auto"/>
        <w:ind w:firstLine="480" w:firstLineChars="200"/>
        <w:jc w:val="left"/>
        <w:rPr>
          <w:rFonts w:ascii="宋体" w:hAnsi="宋体"/>
          <w:sz w:val="24"/>
        </w:rPr>
      </w:pPr>
      <w:r>
        <w:rPr>
          <w:rFonts w:hint="eastAsia" w:ascii="宋体" w:hAnsi="宋体"/>
          <w:sz w:val="24"/>
        </w:rPr>
        <w:t>1.3.9、提供冷却水系统停用期间湿保养药剂；</w:t>
      </w:r>
    </w:p>
    <w:p>
      <w:pPr>
        <w:spacing w:line="360" w:lineRule="auto"/>
        <w:ind w:firstLine="480" w:firstLineChars="200"/>
        <w:jc w:val="left"/>
        <w:rPr>
          <w:rFonts w:ascii="宋体" w:hAnsi="宋体"/>
          <w:sz w:val="24"/>
        </w:rPr>
      </w:pPr>
      <w:r>
        <w:rPr>
          <w:rFonts w:hint="eastAsia" w:ascii="宋体" w:hAnsi="宋体"/>
          <w:sz w:val="24"/>
        </w:rPr>
        <w:t>1.3.10、供冷季期间每月一次清洗冷却塔塔盘，并打扫冷塔平台卫生，保持冷却塔设备及平台卫生洁净、无杂物、无空药剂桶等；</w:t>
      </w:r>
    </w:p>
    <w:p>
      <w:pPr>
        <w:spacing w:line="360" w:lineRule="auto"/>
        <w:ind w:firstLine="480" w:firstLineChars="200"/>
        <w:jc w:val="left"/>
        <w:rPr>
          <w:rFonts w:ascii="宋体" w:hAnsi="宋体"/>
          <w:sz w:val="24"/>
        </w:rPr>
      </w:pPr>
      <w:r>
        <w:rPr>
          <w:rFonts w:hint="eastAsia" w:ascii="宋体" w:hAnsi="宋体"/>
          <w:sz w:val="24"/>
        </w:rPr>
        <w:t>1.3.11、供冷季期间每月对填料进行一次清洗工作；</w:t>
      </w:r>
    </w:p>
    <w:p>
      <w:pPr>
        <w:spacing w:line="360" w:lineRule="auto"/>
        <w:ind w:firstLine="480" w:firstLineChars="200"/>
        <w:jc w:val="left"/>
        <w:rPr>
          <w:rFonts w:ascii="宋体" w:hAnsi="宋体"/>
          <w:sz w:val="24"/>
        </w:rPr>
      </w:pPr>
      <w:r>
        <w:rPr>
          <w:rFonts w:hint="eastAsia" w:ascii="宋体" w:hAnsi="宋体"/>
          <w:sz w:val="24"/>
        </w:rPr>
        <w:t>1.3.12、供冷季前对水系统水泵进行整体巡查；</w:t>
      </w:r>
    </w:p>
    <w:p>
      <w:pPr>
        <w:spacing w:line="360" w:lineRule="auto"/>
        <w:ind w:firstLine="480" w:firstLineChars="200"/>
        <w:jc w:val="left"/>
        <w:rPr>
          <w:rFonts w:ascii="宋体" w:hAnsi="宋体"/>
          <w:sz w:val="24"/>
        </w:rPr>
      </w:pPr>
      <w:r>
        <w:rPr>
          <w:rFonts w:hint="eastAsia" w:ascii="宋体" w:hAnsi="宋体"/>
          <w:sz w:val="24"/>
        </w:rPr>
        <w:t>1.3.13、供冷季前对水系统管路阀门进行整体巡查；</w:t>
      </w:r>
    </w:p>
    <w:p>
      <w:pPr>
        <w:spacing w:line="360" w:lineRule="auto"/>
        <w:ind w:firstLine="480" w:firstLineChars="200"/>
        <w:jc w:val="left"/>
        <w:rPr>
          <w:rFonts w:ascii="宋体" w:hAnsi="宋体"/>
          <w:sz w:val="24"/>
        </w:rPr>
      </w:pPr>
      <w:r>
        <w:rPr>
          <w:rFonts w:hint="eastAsia" w:ascii="宋体" w:hAnsi="宋体"/>
          <w:sz w:val="24"/>
        </w:rPr>
        <w:t>1.3.14、服务单位每季针对所有水质化验情况出具全面检测报告；</w:t>
      </w:r>
    </w:p>
    <w:p>
      <w:pPr>
        <w:spacing w:line="360" w:lineRule="auto"/>
        <w:ind w:firstLine="480" w:firstLineChars="200"/>
        <w:jc w:val="left"/>
        <w:rPr>
          <w:rFonts w:ascii="宋体" w:hAnsi="宋体"/>
          <w:sz w:val="24"/>
        </w:rPr>
      </w:pPr>
      <w:r>
        <w:rPr>
          <w:rFonts w:hint="eastAsia" w:ascii="宋体" w:hAnsi="宋体"/>
          <w:sz w:val="24"/>
        </w:rPr>
        <w:t>1.3.15、对空调水系统作防锈蚀处理，应定期检查中央空调的实际情况，冷机启动前对空调水系统的水过滤器进行拆卸清洗工作。</w:t>
      </w:r>
    </w:p>
    <w:p>
      <w:pPr>
        <w:spacing w:line="360" w:lineRule="auto"/>
        <w:ind w:firstLine="480" w:firstLineChars="200"/>
        <w:jc w:val="left"/>
        <w:rPr>
          <w:rFonts w:ascii="宋体" w:hAnsi="宋体" w:cs="宋体"/>
          <w:sz w:val="24"/>
        </w:rPr>
      </w:pPr>
      <w:r>
        <w:rPr>
          <w:rFonts w:ascii="宋体" w:hAnsi="宋体" w:cs="宋体"/>
          <w:sz w:val="24"/>
        </w:rPr>
        <w:t>1.3.16</w:t>
      </w:r>
      <w:r>
        <w:rPr>
          <w:rFonts w:hint="eastAsia" w:ascii="宋体" w:hAnsi="宋体" w:cs="宋体"/>
          <w:sz w:val="24"/>
        </w:rPr>
        <w:t>、按照甲方要求进行第三方检测。①</w:t>
      </w:r>
      <w:r>
        <w:rPr>
          <w:rFonts w:hint="eastAsia" w:ascii="宋体" w:hAnsi="宋体" w:cs="宋体"/>
          <w:sz w:val="24"/>
          <w:highlight w:val="green"/>
        </w:rPr>
        <w:t>每套冷却水及冷冻水系统每个季度均要提供一份第三方权威机构出具的检测报告</w:t>
      </w:r>
      <w:r>
        <w:rPr>
          <w:rFonts w:hint="eastAsia" w:ascii="宋体" w:hAnsi="宋体" w:cs="宋体"/>
          <w:sz w:val="24"/>
        </w:rPr>
        <w:t>，具体检测时间为不定期抽测。②</w:t>
      </w:r>
      <w:r>
        <w:rPr>
          <w:rFonts w:hint="eastAsia" w:ascii="宋体" w:hAnsi="宋体" w:cs="宋体"/>
          <w:sz w:val="24"/>
          <w:highlight w:val="green"/>
        </w:rPr>
        <w:t>每半年提供1份第三方权威机构出具的冷却塔军团菌检测报告</w:t>
      </w:r>
      <w:r>
        <w:rPr>
          <w:rFonts w:hint="eastAsia" w:ascii="宋体" w:hAnsi="宋体" w:cs="宋体"/>
          <w:sz w:val="24"/>
        </w:rPr>
        <w:t>，具体检测时间为不定期抽测。</w:t>
      </w:r>
    </w:p>
    <w:p>
      <w:pPr>
        <w:pStyle w:val="82"/>
        <w:tabs>
          <w:tab w:val="left" w:pos="8640"/>
        </w:tabs>
        <w:autoSpaceDE w:val="0"/>
        <w:autoSpaceDN w:val="0"/>
        <w:snapToGrid w:val="0"/>
        <w:spacing w:line="360" w:lineRule="auto"/>
        <w:ind w:left="360" w:firstLine="0" w:firstLineChars="0"/>
        <w:jc w:val="left"/>
        <w:rPr>
          <w:rFonts w:ascii="宋体" w:hAnsi="宋体" w:cs="宋体"/>
          <w:color w:val="000000"/>
          <w:kern w:val="0"/>
          <w:sz w:val="24"/>
        </w:rPr>
      </w:pPr>
      <w:r>
        <w:rPr>
          <w:rFonts w:ascii="宋体" w:hAnsi="宋体" w:cs="宋体"/>
          <w:b/>
          <w:bCs/>
          <w:color w:val="000000"/>
          <w:kern w:val="0"/>
          <w:sz w:val="24"/>
        </w:rPr>
        <w:t>2.1</w:t>
      </w:r>
      <w:r>
        <w:rPr>
          <w:rFonts w:hint="eastAsia" w:ascii="宋体" w:hAnsi="宋体" w:cs="宋体"/>
          <w:b/>
          <w:bCs/>
          <w:color w:val="000000"/>
          <w:kern w:val="0"/>
          <w:sz w:val="24"/>
        </w:rPr>
        <w:t>、主机保养服务及服务标准</w:t>
      </w:r>
    </w:p>
    <w:tbl>
      <w:tblPr>
        <w:tblStyle w:val="41"/>
        <w:tblpPr w:leftFromText="180" w:rightFromText="180" w:vertAnchor="text" w:horzAnchor="margin" w:tblpXSpec="center" w:tblpY="7"/>
        <w:tblW w:w="11620" w:type="dxa"/>
        <w:tblInd w:w="0" w:type="dxa"/>
        <w:tblLayout w:type="autofit"/>
        <w:tblCellMar>
          <w:top w:w="0" w:type="dxa"/>
          <w:left w:w="108" w:type="dxa"/>
          <w:bottom w:w="0" w:type="dxa"/>
          <w:right w:w="108" w:type="dxa"/>
        </w:tblCellMar>
      </w:tblPr>
      <w:tblGrid>
        <w:gridCol w:w="11620"/>
      </w:tblGrid>
      <w:tr>
        <w:tblPrEx>
          <w:tblCellMar>
            <w:top w:w="0" w:type="dxa"/>
            <w:left w:w="108" w:type="dxa"/>
            <w:bottom w:w="0" w:type="dxa"/>
            <w:right w:w="108" w:type="dxa"/>
          </w:tblCellMar>
        </w:tblPrEx>
        <w:trPr>
          <w:trHeight w:val="1226" w:hRule="atLeast"/>
        </w:trPr>
        <w:tc>
          <w:tcPr>
            <w:tcW w:w="11620" w:type="dxa"/>
            <w:tcBorders>
              <w:top w:val="nil"/>
              <w:left w:val="nil"/>
              <w:bottom w:val="nil"/>
              <w:right w:val="nil"/>
            </w:tcBorders>
            <w:shd w:val="clear" w:color="auto" w:fill="auto"/>
            <w:noWrap/>
            <w:vAlign w:val="center"/>
          </w:tcPr>
          <w:tbl>
            <w:tblPr>
              <w:tblStyle w:val="4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914"/>
              <w:gridCol w:w="3663"/>
              <w:gridCol w:w="851"/>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6"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914"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项目类别</w:t>
                  </w: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服务内容</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数量</w:t>
                  </w:r>
                </w:p>
              </w:tc>
              <w:tc>
                <w:tcPr>
                  <w:tcW w:w="1418" w:type="dxa"/>
                  <w:vAlign w:val="center"/>
                </w:tcPr>
                <w:p>
                  <w:pPr>
                    <w:tabs>
                      <w:tab w:val="left" w:pos="8640"/>
                    </w:tabs>
                    <w:autoSpaceDE w:val="0"/>
                    <w:autoSpaceDN w:val="0"/>
                    <w:snapToGrid w:val="0"/>
                    <w:spacing w:line="360" w:lineRule="auto"/>
                    <w:jc w:val="center"/>
                    <w:rPr>
                      <w:rFonts w:ascii="宋体" w:hAnsi="宋体" w:cs="宋体"/>
                      <w:b/>
                      <w:bCs/>
                      <w:color w:val="000000"/>
                      <w:kern w:val="0"/>
                      <w:sz w:val="22"/>
                    </w:rPr>
                  </w:pPr>
                  <w:r>
                    <w:rPr>
                      <w:rFonts w:hint="eastAsia" w:ascii="宋体" w:hAnsi="宋体" w:cs="宋体"/>
                      <w:b/>
                      <w:bCs/>
                      <w:color w:val="000000"/>
                      <w:kern w:val="0"/>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p>
              </w:tc>
              <w:tc>
                <w:tcPr>
                  <w:tcW w:w="1914"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冷却系统</w:t>
                  </w: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军团菌检测(CMA)</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份</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固体杀菌剂</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KG</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450</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KG/</w:t>
                  </w:r>
                  <w:r>
                    <w:rPr>
                      <w:rFonts w:hint="eastAsia" w:ascii="宋体" w:hAnsi="宋体" w:cs="宋体"/>
                      <w:color w:val="000000"/>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缓蚀阻垢剂</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KG</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1350</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9KG/</w:t>
                  </w:r>
                  <w:r>
                    <w:rPr>
                      <w:rFonts w:hint="eastAsia" w:ascii="宋体" w:hAnsi="宋体" w:cs="宋体"/>
                      <w:color w:val="000000"/>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杀菌灭藻剂</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KG</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450</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KG/</w:t>
                  </w:r>
                  <w:r>
                    <w:rPr>
                      <w:rFonts w:hint="eastAsia" w:ascii="宋体" w:hAnsi="宋体" w:cs="宋体"/>
                      <w:color w:val="000000"/>
                      <w:kern w:val="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水处理清洗预膜保养</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次</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取样检测系统巡检</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次</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6</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w:t>
                  </w:r>
                </w:p>
              </w:tc>
              <w:tc>
                <w:tcPr>
                  <w:tcW w:w="1914" w:type="dxa"/>
                  <w:shd w:val="clear" w:color="auto" w:fill="auto"/>
                  <w:vAlign w:val="center"/>
                </w:tcPr>
                <w:p>
                  <w:pPr>
                    <w:tabs>
                      <w:tab w:val="left" w:pos="8640"/>
                    </w:tabs>
                    <w:autoSpaceDE w:val="0"/>
                    <w:autoSpaceDN w:val="0"/>
                    <w:snapToGrid w:val="0"/>
                    <w:jc w:val="left"/>
                    <w:rPr>
                      <w:rFonts w:ascii="宋体" w:hAnsi="宋体" w:cs="宋体"/>
                      <w:color w:val="000000"/>
                      <w:kern w:val="0"/>
                      <w:sz w:val="22"/>
                      <w:szCs w:val="22"/>
                    </w:rPr>
                  </w:pPr>
                  <w:r>
                    <w:rPr>
                      <w:rFonts w:hint="eastAsia" w:ascii="宋体" w:hAnsi="宋体" w:cs="宋体"/>
                      <w:color w:val="000000"/>
                      <w:kern w:val="0"/>
                      <w:sz w:val="22"/>
                      <w:szCs w:val="22"/>
                    </w:rPr>
                    <w:t>空调系统水泵检修</w:t>
                  </w:r>
                </w:p>
              </w:tc>
              <w:tc>
                <w:tcPr>
                  <w:tcW w:w="3663" w:type="dxa"/>
                  <w:shd w:val="clear" w:color="auto" w:fill="auto"/>
                  <w:vAlign w:val="center"/>
                </w:tcPr>
                <w:p>
                  <w:pPr>
                    <w:tabs>
                      <w:tab w:val="left" w:pos="8640"/>
                    </w:tabs>
                    <w:autoSpaceDE w:val="0"/>
                    <w:autoSpaceDN w:val="0"/>
                    <w:snapToGrid w:val="0"/>
                    <w:jc w:val="left"/>
                    <w:rPr>
                      <w:rFonts w:ascii="宋体" w:hAnsi="宋体" w:cs="宋体"/>
                      <w:color w:val="000000"/>
                      <w:kern w:val="0"/>
                      <w:sz w:val="22"/>
                      <w:szCs w:val="22"/>
                    </w:rPr>
                  </w:pPr>
                  <w:r>
                    <w:rPr>
                      <w:rFonts w:hint="eastAsia" w:ascii="宋体" w:hAnsi="宋体" w:cs="宋体"/>
                      <w:color w:val="000000"/>
                      <w:kern w:val="0"/>
                      <w:sz w:val="22"/>
                      <w:szCs w:val="22"/>
                    </w:rPr>
                    <w:t>冷冻泵冷却泵补水泵设备及电机等检修维护</w:t>
                  </w:r>
                </w:p>
              </w:tc>
              <w:tc>
                <w:tcPr>
                  <w:tcW w:w="851" w:type="dxa"/>
                  <w:shd w:val="clear" w:color="auto" w:fill="auto"/>
                  <w:vAlign w:val="center"/>
                </w:tcPr>
                <w:p>
                  <w:pPr>
                    <w:tabs>
                      <w:tab w:val="left" w:pos="8640"/>
                    </w:tabs>
                    <w:autoSpaceDE w:val="0"/>
                    <w:autoSpaceDN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50" w:type="dxa"/>
                  <w:shd w:val="clear" w:color="auto" w:fill="auto"/>
                  <w:vAlign w:val="center"/>
                </w:tcPr>
                <w:p>
                  <w:pPr>
                    <w:tabs>
                      <w:tab w:val="left" w:pos="8640"/>
                    </w:tabs>
                    <w:autoSpaceDE w:val="0"/>
                    <w:autoSpaceDN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18" w:type="dxa"/>
                  <w:vAlign w:val="center"/>
                </w:tcPr>
                <w:p>
                  <w:pPr>
                    <w:tabs>
                      <w:tab w:val="left" w:pos="8640"/>
                    </w:tabs>
                    <w:autoSpaceDE w:val="0"/>
                    <w:autoSpaceDN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ascii="宋体" w:hAnsi="宋体" w:cs="宋体"/>
                      <w:color w:val="000000"/>
                      <w:kern w:val="0"/>
                      <w:sz w:val="22"/>
                    </w:rPr>
                    <w:t>3</w:t>
                  </w:r>
                </w:p>
              </w:tc>
              <w:tc>
                <w:tcPr>
                  <w:tcW w:w="1914" w:type="dxa"/>
                  <w:vMerge w:val="restar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冷却塔检修保养</w:t>
                  </w: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冷却塔附件维护保养</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台</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更换皮带</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根</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12</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检查电机</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项</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6"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1914" w:type="dxa"/>
                  <w:vMerge w:val="continue"/>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p>
              </w:tc>
              <w:tc>
                <w:tcPr>
                  <w:tcW w:w="3663"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减速机、电机注润滑油</w:t>
                  </w:r>
                </w:p>
              </w:tc>
              <w:tc>
                <w:tcPr>
                  <w:tcW w:w="851"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项</w:t>
                  </w:r>
                </w:p>
              </w:tc>
              <w:tc>
                <w:tcPr>
                  <w:tcW w:w="850" w:type="dxa"/>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418" w:type="dxa"/>
                  <w:vAlign w:val="center"/>
                </w:tcPr>
                <w:p>
                  <w:pPr>
                    <w:tabs>
                      <w:tab w:val="left" w:pos="8640"/>
                    </w:tabs>
                    <w:autoSpaceDE w:val="0"/>
                    <w:autoSpaceDN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1次/季度</w:t>
                  </w:r>
                </w:p>
              </w:tc>
            </w:tr>
          </w:tbl>
          <w:p>
            <w:pPr>
              <w:spacing w:line="360" w:lineRule="auto"/>
              <w:ind w:firstLine="1205"/>
              <w:jc w:val="center"/>
              <w:rPr>
                <w:rFonts w:ascii="宋体" w:hAnsi="宋体" w:cs="微软雅黑"/>
                <w:b/>
                <w:bCs/>
                <w:szCs w:val="21"/>
              </w:rPr>
            </w:pPr>
          </w:p>
          <w:p>
            <w:pPr>
              <w:spacing w:line="360" w:lineRule="auto"/>
              <w:ind w:firstLine="1205"/>
              <w:jc w:val="both"/>
              <w:rPr>
                <w:rFonts w:ascii="宋体" w:hAnsi="宋体" w:cs="微软雅黑"/>
                <w:b/>
                <w:bCs/>
                <w:szCs w:val="21"/>
              </w:rPr>
            </w:pPr>
            <w:r>
              <w:rPr>
                <w:rFonts w:hint="eastAsia" w:ascii="宋体" w:hAnsi="宋体" w:cs="微软雅黑"/>
                <w:b/>
                <w:bCs/>
                <w:szCs w:val="21"/>
              </w:rPr>
              <w:t>服务标准</w:t>
            </w:r>
          </w:p>
          <w:tbl>
            <w:tblPr>
              <w:tblStyle w:val="41"/>
              <w:tblW w:w="4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4419"/>
              <w:gridCol w:w="945"/>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微软雅黑"/>
                      <w:b/>
                      <w:bCs/>
                      <w:szCs w:val="21"/>
                      <w:lang w:val="en-US" w:eastAsia="zh-CN"/>
                    </w:rPr>
                  </w:pPr>
                  <w:r>
                    <w:rPr>
                      <w:rFonts w:hint="eastAsia" w:ascii="宋体" w:hAnsi="宋体" w:cs="微软雅黑"/>
                      <w:b/>
                      <w:bCs/>
                      <w:szCs w:val="21"/>
                      <w:lang w:val="en-US" w:eastAsia="zh-CN"/>
                    </w:rPr>
                    <w:t>工作内容</w:t>
                  </w:r>
                </w:p>
              </w:tc>
              <w:tc>
                <w:tcPr>
                  <w:tcW w:w="22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微软雅黑"/>
                      <w:b/>
                      <w:bCs/>
                      <w:szCs w:val="21"/>
                    </w:rPr>
                  </w:pPr>
                  <w:r>
                    <w:rPr>
                      <w:rFonts w:hint="eastAsia" w:ascii="宋体" w:hAnsi="宋体" w:cs="微软雅黑"/>
                      <w:b/>
                      <w:bCs/>
                      <w:szCs w:val="21"/>
                    </w:rPr>
                    <w:t>工作标准</w:t>
                  </w:r>
                </w:p>
              </w:tc>
              <w:tc>
                <w:tcPr>
                  <w:tcW w:w="4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微软雅黑"/>
                      <w:b/>
                      <w:bCs/>
                      <w:szCs w:val="21"/>
                    </w:rPr>
                  </w:pPr>
                  <w:r>
                    <w:rPr>
                      <w:rFonts w:hint="eastAsia" w:ascii="宋体" w:hAnsi="宋体" w:cs="微软雅黑"/>
                      <w:b/>
                      <w:bCs/>
                      <w:szCs w:val="21"/>
                    </w:rPr>
                    <w:t>频次</w:t>
                  </w:r>
                </w:p>
              </w:tc>
              <w:tc>
                <w:tcPr>
                  <w:tcW w:w="16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微软雅黑"/>
                      <w:b/>
                      <w:bCs/>
                      <w:szCs w:val="21"/>
                    </w:rPr>
                  </w:pPr>
                  <w:r>
                    <w:rPr>
                      <w:rFonts w:hint="eastAsia" w:ascii="宋体" w:hAnsi="宋体" w:cs="微软雅黑"/>
                      <w:b/>
                      <w:bCs/>
                      <w:szCs w:val="21"/>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21" w:type="pct"/>
                  <w:vMerge w:val="restart"/>
                  <w:tcBorders>
                    <w:top w:val="single" w:color="auto" w:sz="4" w:space="0"/>
                    <w:left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1．冷媒系统</w:t>
                  </w: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1)冷媒系统全面检漏</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1次/月</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 xml:space="preserve">冷媒系统无泄露，检测表压力值保持30分钟不下降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1" w:type="pct"/>
                  <w:vMerge w:val="continue"/>
                  <w:tcBorders>
                    <w:left w:val="single" w:color="auto" w:sz="4" w:space="0"/>
                    <w:right w:val="single" w:color="auto" w:sz="4" w:space="0"/>
                  </w:tcBorders>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2)更换干燥过滤器</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干燥过滤器每年更换一次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21" w:type="pct"/>
                  <w:vMerge w:val="restart"/>
                  <w:tcBorders>
                    <w:top w:val="single" w:color="auto" w:sz="4" w:space="0"/>
                    <w:left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2．冷冻油系统</w:t>
                  </w: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1)排出压缩机润滑油,检查更换有杂质的油过滤芯</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油过滤器有杂质且发黑需要更换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21" w:type="pct"/>
                  <w:vMerge w:val="continue"/>
                  <w:tcBorders>
                    <w:left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2)检查系统单向阀、电磁阀</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单向阀、电磁阀动作灵敏、可靠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621" w:type="pct"/>
                  <w:vMerge w:val="continue"/>
                  <w:tcBorders>
                    <w:left w:val="single" w:color="auto" w:sz="4" w:space="0"/>
                    <w:bottom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3）充注新油</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1、目测润滑油发黑有杂质、泛黄需要更换压缩机润滑油。</w:t>
                  </w:r>
                </w:p>
                <w:p>
                  <w:pPr>
                    <w:jc w:val="left"/>
                    <w:rPr>
                      <w:rFonts w:ascii="宋体" w:hAnsi="宋体" w:cs="微软雅黑"/>
                      <w:szCs w:val="21"/>
                    </w:rPr>
                  </w:pPr>
                  <w:r>
                    <w:rPr>
                      <w:rFonts w:hint="eastAsia" w:ascii="宋体" w:hAnsi="宋体" w:cs="微软雅黑"/>
                      <w:szCs w:val="21"/>
                    </w:rPr>
                    <w:t>2、冷水主机组运行5000-8000小时需更换压缩机润滑油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21" w:type="pct"/>
                  <w:vMerge w:val="restart"/>
                  <w:tcBorders>
                    <w:top w:val="single" w:color="auto" w:sz="4" w:space="0"/>
                    <w:left w:val="single" w:color="auto" w:sz="4" w:space="0"/>
                    <w:right w:val="single" w:color="auto" w:sz="4" w:space="0"/>
                  </w:tcBorders>
                  <w:vAlign w:val="center"/>
                </w:tcPr>
                <w:p>
                  <w:pPr>
                    <w:jc w:val="left"/>
                    <w:rPr>
                      <w:rFonts w:hint="eastAsia" w:ascii="宋体" w:hAnsi="宋体" w:cs="微软雅黑"/>
                      <w:szCs w:val="21"/>
                    </w:rPr>
                  </w:pPr>
                  <w:r>
                    <w:rPr>
                      <w:rFonts w:hint="eastAsia" w:ascii="宋体" w:hAnsi="宋体" w:cs="微软雅黑"/>
                      <w:szCs w:val="21"/>
                    </w:rPr>
                    <w:t>3、冷凝器清洗</w:t>
                  </w:r>
                </w:p>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1）对主机冷凝器、蒸发器与吸收器等各部位进行细致、彻底的检查：查验是否有积垢、堵塞、泄漏等问题。</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冷凝器、蒸发器与吸收器无积垢、堵塞、泄漏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21" w:type="pct"/>
                  <w:vMerge w:val="continue"/>
                  <w:tcBorders>
                    <w:left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2）投入粘泥剥离剂，连续运行若干小时，使其能够充分发挥药力，能够分离管壁中的污泥、藻类等，达到预期效果后进行排放，然后用清水反复冲洗。</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观测排出的水无杂质、无浑浊。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1" w:type="pct"/>
                  <w:vMerge w:val="continue"/>
                  <w:tcBorders>
                    <w:left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3）向清洗槽内加入适量的水，然后逐渐加入安全强力除垢剂，并定时测量PH值与铜离子数值，使PH值保持在工艺范围</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 xml:space="preserve">冷却水PH合格值在7--9                   </w:t>
                  </w:r>
                </w:p>
                <w:p>
                  <w:pPr>
                    <w:jc w:val="left"/>
                    <w:rPr>
                      <w:rFonts w:ascii="宋体" w:hAnsi="宋体" w:cs="微软雅黑"/>
                      <w:szCs w:val="21"/>
                    </w:rPr>
                  </w:pPr>
                  <w:r>
                    <w:rPr>
                      <w:rFonts w:hint="eastAsia" w:ascii="宋体" w:hAnsi="宋体" w:cs="微软雅黑"/>
                      <w:szCs w:val="21"/>
                    </w:rPr>
                    <w:t>冷栋水PH合格值在9--10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621" w:type="pct"/>
                  <w:vMerge w:val="continue"/>
                  <w:tcBorders>
                    <w:left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4）在清洗循环系统添加清水，加入钝化剂防治，循环钝化处理2小时后排水。</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观测排出的水无杂质、无浑浊。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621" w:type="pct"/>
                  <w:vMerge w:val="continue"/>
                  <w:tcBorders>
                    <w:left w:val="single" w:color="auto" w:sz="4" w:space="0"/>
                    <w:bottom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5）清洗完毕后，用压力冲洗冷凝器铜管内残留物，拆卸后端盖检查清洗后效果，确定后拆卸临时管路，恢复原貌，正常结束投入使用</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清洗后检查冷凝器铜管内无积垢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21" w:type="pct"/>
                  <w:vMerge w:val="restart"/>
                  <w:tcBorders>
                    <w:top w:val="single" w:color="auto" w:sz="4" w:space="0"/>
                    <w:left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4．电器控制检查保养</w:t>
                  </w: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1）遥测电机绝缘</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1次/月</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不低于10兆欧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21" w:type="pct"/>
                  <w:vMerge w:val="continue"/>
                  <w:tcBorders>
                    <w:left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2）检查控制柜开关元件接点、触点导线有无松动、过热</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1次/月</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开关主线路无过热、电线紧固、接触点无过热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21" w:type="pct"/>
                  <w:vMerge w:val="continue"/>
                  <w:tcBorders>
                    <w:left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3）检查并校正各压力温度液信传感器，排气、吸气、油、经济器压力传感器，排气、电机、水温、油温温度传感器信号传输是否灵敏</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1次/月</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传感器灵敏、机构灵活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21" w:type="pct"/>
                  <w:vMerge w:val="continue"/>
                  <w:tcBorders>
                    <w:left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4）检查水流开关导线有无松动，部件动作是否灵敏可靠。</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1次/月</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部件动作灵敏可靠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21" w:type="pct"/>
                  <w:vMerge w:val="continue"/>
                  <w:tcBorders>
                    <w:left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5）检查控制系统PRO-DIALOG  PLUSqi'ji在启机运行状态下参数是否出现偏差</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1次/月</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与出厂后调试的参数一致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21" w:type="pct"/>
                  <w:vMerge w:val="continue"/>
                  <w:tcBorders>
                    <w:left w:val="single" w:color="auto" w:sz="4" w:space="0"/>
                    <w:bottom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6）检查起动器及三相工作电流是否平衡、过载</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1次/月</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三相电流平衡，额定电流值在铭牌标注的范围之内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21" w:type="pct"/>
                  <w:vMerge w:val="restart"/>
                  <w:tcBorders>
                    <w:top w:val="single" w:color="auto" w:sz="4" w:space="0"/>
                    <w:left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5．开机调试</w:t>
                  </w: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1）开机前查漏、抽真空、加氮气测试泄漏情况，加制冷剂134a</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饱和压力不低于400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21" w:type="pct"/>
                  <w:vMerge w:val="continue"/>
                  <w:tcBorders>
                    <w:left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2）开机前控制系统模拟测试</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1次/年</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1、电脑模组测试。</w:t>
                  </w:r>
                </w:p>
                <w:p>
                  <w:pPr>
                    <w:jc w:val="left"/>
                    <w:rPr>
                      <w:rFonts w:ascii="宋体" w:hAnsi="宋体" w:cs="微软雅黑"/>
                      <w:szCs w:val="21"/>
                    </w:rPr>
                  </w:pPr>
                  <w:r>
                    <w:rPr>
                      <w:rFonts w:hint="eastAsia" w:ascii="宋体" w:hAnsi="宋体" w:cs="微软雅黑"/>
                      <w:szCs w:val="21"/>
                    </w:rPr>
                    <w:t>2、温度传感器和压力传感器测试。</w:t>
                  </w:r>
                </w:p>
                <w:p>
                  <w:pPr>
                    <w:jc w:val="left"/>
                    <w:rPr>
                      <w:rFonts w:ascii="宋体" w:hAnsi="宋体" w:cs="微软雅黑"/>
                      <w:szCs w:val="21"/>
                    </w:rPr>
                  </w:pPr>
                  <w:r>
                    <w:rPr>
                      <w:rFonts w:hint="eastAsia" w:ascii="宋体" w:hAnsi="宋体" w:cs="微软雅黑"/>
                      <w:szCs w:val="21"/>
                    </w:rPr>
                    <w:t>3、油泵和水泵（如接入主机）自动控制测试。</w:t>
                  </w:r>
                </w:p>
                <w:p>
                  <w:pPr>
                    <w:jc w:val="left"/>
                    <w:rPr>
                      <w:rFonts w:ascii="宋体" w:hAnsi="宋体" w:cs="微软雅黑"/>
                      <w:szCs w:val="21"/>
                    </w:rPr>
                  </w:pPr>
                  <w:r>
                    <w:rPr>
                      <w:rFonts w:hint="eastAsia" w:ascii="宋体" w:hAnsi="宋体" w:cs="微软雅黑"/>
                      <w:szCs w:val="21"/>
                    </w:rPr>
                    <w:t>4、导叶启闭测试。</w:t>
                  </w:r>
                </w:p>
                <w:p>
                  <w:pPr>
                    <w:jc w:val="left"/>
                    <w:rPr>
                      <w:rFonts w:ascii="宋体" w:hAnsi="宋体" w:cs="微软雅黑"/>
                      <w:szCs w:val="21"/>
                    </w:rPr>
                  </w:pPr>
                  <w:r>
                    <w:rPr>
                      <w:rFonts w:hint="eastAsia" w:ascii="宋体" w:hAnsi="宋体" w:cs="微软雅黑"/>
                      <w:szCs w:val="21"/>
                    </w:rPr>
                    <w:t>5、数字量输出测试。</w:t>
                  </w:r>
                </w:p>
                <w:p>
                  <w:pPr>
                    <w:jc w:val="lef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21" w:type="pct"/>
                  <w:vMerge w:val="continue"/>
                  <w:tcBorders>
                    <w:left w:val="single" w:color="auto" w:sz="4" w:space="0"/>
                    <w:bottom w:val="single" w:color="auto" w:sz="4" w:space="0"/>
                    <w:right w:val="single" w:color="auto" w:sz="4" w:space="0"/>
                  </w:tcBorders>
                  <w:vAlign w:val="center"/>
                </w:tcPr>
                <w:p>
                  <w:pPr>
                    <w:jc w:val="left"/>
                    <w:rPr>
                      <w:rFonts w:ascii="宋体" w:hAnsi="宋体" w:cs="微软雅黑"/>
                      <w:szCs w:val="21"/>
                    </w:rPr>
                  </w:pPr>
                </w:p>
              </w:tc>
              <w:tc>
                <w:tcPr>
                  <w:tcW w:w="2277" w:type="pct"/>
                  <w:tcBorders>
                    <w:top w:val="single" w:color="auto" w:sz="4" w:space="0"/>
                    <w:left w:val="single" w:color="auto" w:sz="4" w:space="0"/>
                    <w:bottom w:val="single" w:color="auto" w:sz="4" w:space="0"/>
                    <w:right w:val="single" w:color="auto" w:sz="4" w:space="0"/>
                  </w:tcBorders>
                </w:tcPr>
                <w:p>
                  <w:pPr>
                    <w:jc w:val="left"/>
                    <w:rPr>
                      <w:rFonts w:ascii="宋体" w:hAnsi="宋体" w:cs="微软雅黑"/>
                      <w:szCs w:val="21"/>
                    </w:rPr>
                  </w:pPr>
                  <w:r>
                    <w:rPr>
                      <w:rFonts w:hint="eastAsia" w:ascii="宋体" w:hAnsi="宋体" w:cs="微软雅黑"/>
                      <w:szCs w:val="21"/>
                    </w:rPr>
                    <w:t>3）开机后检查冷媒、冷冻油。机组有无不正常噪音、振动</w:t>
                  </w:r>
                </w:p>
              </w:tc>
              <w:tc>
                <w:tcPr>
                  <w:tcW w:w="48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1次/月</w:t>
                  </w:r>
                </w:p>
              </w:tc>
              <w:tc>
                <w:tcPr>
                  <w:tcW w:w="161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微软雅黑"/>
                      <w:szCs w:val="21"/>
                    </w:rPr>
                  </w:pPr>
                  <w:r>
                    <w:rPr>
                      <w:rFonts w:hint="eastAsia" w:ascii="宋体" w:hAnsi="宋体" w:cs="微软雅黑"/>
                      <w:szCs w:val="21"/>
                    </w:rPr>
                    <w:t>检查冷媒、冷冻油油位在标注的合格位置，检查机组无噪音、振动</w:t>
                  </w:r>
                </w:p>
              </w:tc>
            </w:tr>
          </w:tbl>
          <w:p>
            <w:pPr>
              <w:tabs>
                <w:tab w:val="left" w:pos="3285"/>
              </w:tabs>
              <w:ind w:firstLine="1200"/>
              <w:jc w:val="left"/>
            </w:pPr>
          </w:p>
        </w:tc>
      </w:tr>
    </w:tbl>
    <w:p>
      <w:pPr>
        <w:pStyle w:val="82"/>
        <w:numPr>
          <w:ilvl w:val="0"/>
          <w:numId w:val="7"/>
        </w:numPr>
        <w:tabs>
          <w:tab w:val="left" w:pos="8640"/>
        </w:tabs>
        <w:autoSpaceDE w:val="0"/>
        <w:autoSpaceDN w:val="0"/>
        <w:snapToGrid w:val="0"/>
        <w:spacing w:line="360" w:lineRule="auto"/>
        <w:ind w:firstLineChars="0"/>
        <w:jc w:val="left"/>
        <w:rPr>
          <w:rFonts w:ascii="宋体" w:hAnsi="宋体" w:cs="宋体"/>
          <w:b/>
          <w:color w:val="000000"/>
          <w:kern w:val="0"/>
          <w:sz w:val="24"/>
        </w:rPr>
      </w:pPr>
      <w:r>
        <w:rPr>
          <w:rFonts w:hint="eastAsia" w:ascii="宋体" w:hAnsi="宋体" w:cs="宋体"/>
          <w:b/>
          <w:color w:val="000000"/>
          <w:kern w:val="0"/>
          <w:sz w:val="24"/>
        </w:rPr>
        <w:t>空调制冷制热系统维保涵盖内容</w:t>
      </w:r>
      <w:r>
        <w:rPr>
          <w:rFonts w:hint="eastAsia" w:ascii="宋体" w:hAnsi="宋体" w:cs="宋体"/>
          <w:bCs/>
          <w:color w:val="000000"/>
          <w:kern w:val="0"/>
          <w:sz w:val="24"/>
        </w:rPr>
        <w:t>包括但不限于：</w:t>
      </w:r>
    </w:p>
    <w:p>
      <w:pPr>
        <w:pStyle w:val="82"/>
        <w:numPr>
          <w:ilvl w:val="0"/>
          <w:numId w:val="8"/>
        </w:numPr>
        <w:tabs>
          <w:tab w:val="left" w:pos="8640"/>
        </w:tabs>
        <w:autoSpaceDE w:val="0"/>
        <w:autoSpaceDN w:val="0"/>
        <w:snapToGrid w:val="0"/>
        <w:spacing w:line="360" w:lineRule="auto"/>
        <w:ind w:firstLineChars="0"/>
        <w:jc w:val="left"/>
        <w:rPr>
          <w:rFonts w:ascii="宋体" w:hAnsi="宋体" w:cs="宋体"/>
          <w:bCs/>
          <w:color w:val="000000"/>
          <w:kern w:val="0"/>
          <w:sz w:val="24"/>
        </w:rPr>
      </w:pPr>
      <w:r>
        <w:rPr>
          <w:rFonts w:hint="eastAsia" w:ascii="宋体" w:hAnsi="宋体" w:cs="宋体"/>
          <w:bCs/>
          <w:color w:val="000000"/>
          <w:kern w:val="0"/>
          <w:sz w:val="24"/>
          <w:highlight w:val="green"/>
        </w:rPr>
        <w:t>水冷主机故障维修、更换损坏部件，主机冷凝器蒸发器铜管逐一清洗测漏</w:t>
      </w:r>
      <w:r>
        <w:rPr>
          <w:rFonts w:hint="eastAsia" w:ascii="宋体" w:hAnsi="宋体" w:cs="宋体"/>
          <w:bCs/>
          <w:color w:val="000000"/>
          <w:kern w:val="0"/>
          <w:sz w:val="24"/>
        </w:rPr>
        <w:t>；</w:t>
      </w:r>
    </w:p>
    <w:p>
      <w:pPr>
        <w:pStyle w:val="82"/>
        <w:numPr>
          <w:ilvl w:val="0"/>
          <w:numId w:val="8"/>
        </w:numPr>
        <w:tabs>
          <w:tab w:val="left" w:pos="8640"/>
        </w:tabs>
        <w:autoSpaceDE w:val="0"/>
        <w:autoSpaceDN w:val="0"/>
        <w:snapToGrid w:val="0"/>
        <w:spacing w:line="360" w:lineRule="auto"/>
        <w:ind w:firstLineChars="0"/>
        <w:jc w:val="left"/>
        <w:rPr>
          <w:rFonts w:ascii="宋体" w:hAnsi="宋体" w:cs="宋体"/>
          <w:bCs/>
          <w:color w:val="000000"/>
          <w:kern w:val="0"/>
          <w:sz w:val="24"/>
        </w:rPr>
      </w:pPr>
      <w:r>
        <w:rPr>
          <w:rFonts w:hint="eastAsia" w:ascii="宋体" w:hAnsi="宋体" w:cs="宋体"/>
          <w:bCs/>
          <w:color w:val="000000"/>
          <w:kern w:val="0"/>
          <w:sz w:val="24"/>
        </w:rPr>
        <w:t>机组表面清洁擦拭；</w:t>
      </w:r>
    </w:p>
    <w:p>
      <w:pPr>
        <w:pStyle w:val="82"/>
        <w:numPr>
          <w:ilvl w:val="0"/>
          <w:numId w:val="8"/>
        </w:numPr>
        <w:tabs>
          <w:tab w:val="left" w:pos="8640"/>
        </w:tabs>
        <w:autoSpaceDE w:val="0"/>
        <w:autoSpaceDN w:val="0"/>
        <w:snapToGrid w:val="0"/>
        <w:spacing w:line="360" w:lineRule="auto"/>
        <w:ind w:firstLineChars="0"/>
        <w:jc w:val="left"/>
        <w:rPr>
          <w:rFonts w:ascii="宋体" w:hAnsi="宋体" w:cs="宋体"/>
          <w:bCs/>
          <w:color w:val="000000"/>
          <w:kern w:val="0"/>
          <w:sz w:val="24"/>
        </w:rPr>
      </w:pPr>
      <w:r>
        <w:rPr>
          <w:rFonts w:hint="eastAsia" w:ascii="宋体" w:hAnsi="宋体" w:cs="宋体"/>
          <w:bCs/>
          <w:color w:val="000000"/>
          <w:kern w:val="0"/>
          <w:sz w:val="24"/>
          <w:highlight w:val="green"/>
        </w:rPr>
        <w:t>水冷主机</w:t>
      </w:r>
      <w:r>
        <w:rPr>
          <w:rFonts w:hint="eastAsia" w:ascii="宋体" w:hAnsi="宋体" w:cs="宋体"/>
          <w:bCs/>
          <w:color w:val="000000"/>
          <w:kern w:val="0"/>
          <w:sz w:val="24"/>
        </w:rPr>
        <w:t>的控制系统、供电系统、冷冻油系统、电压、电流、温度、压力、电子膨胀阀、冷媒系统、容量控制、调试等</w:t>
      </w:r>
      <w:r>
        <w:rPr>
          <w:rFonts w:hint="eastAsia" w:ascii="宋体" w:hAnsi="宋体" w:cs="宋体"/>
          <w:bCs/>
          <w:color w:val="000000"/>
          <w:kern w:val="0"/>
          <w:sz w:val="24"/>
          <w:highlight w:val="green"/>
        </w:rPr>
        <w:t>实行全面维保故障维修</w:t>
      </w:r>
      <w:r>
        <w:rPr>
          <w:rFonts w:hint="eastAsia" w:ascii="宋体" w:hAnsi="宋体" w:cs="宋体"/>
          <w:bCs/>
          <w:color w:val="000000"/>
          <w:kern w:val="0"/>
          <w:sz w:val="24"/>
        </w:rPr>
        <w:t>，保障空调系统正常运行；</w:t>
      </w:r>
    </w:p>
    <w:p>
      <w:pPr>
        <w:pStyle w:val="82"/>
        <w:numPr>
          <w:ilvl w:val="0"/>
          <w:numId w:val="8"/>
        </w:numPr>
        <w:tabs>
          <w:tab w:val="left" w:pos="8640"/>
        </w:tabs>
        <w:autoSpaceDE w:val="0"/>
        <w:autoSpaceDN w:val="0"/>
        <w:snapToGrid w:val="0"/>
        <w:spacing w:line="360" w:lineRule="auto"/>
        <w:ind w:firstLineChars="0"/>
        <w:jc w:val="left"/>
        <w:rPr>
          <w:rFonts w:ascii="宋体" w:hAnsi="宋体" w:cs="宋体"/>
          <w:bCs/>
          <w:color w:val="000000"/>
          <w:kern w:val="0"/>
          <w:sz w:val="24"/>
        </w:rPr>
      </w:pPr>
      <w:r>
        <w:rPr>
          <w:rFonts w:hint="eastAsia" w:ascii="宋体" w:hAnsi="宋体" w:cs="宋体"/>
          <w:bCs/>
          <w:color w:val="000000"/>
          <w:kern w:val="0"/>
          <w:sz w:val="24"/>
        </w:rPr>
        <w:t>对多联式机组内外机清洗、运行检查、氟压检查、故障排除消毒，加装制冷剂等；</w:t>
      </w:r>
    </w:p>
    <w:p>
      <w:pPr>
        <w:pStyle w:val="82"/>
        <w:numPr>
          <w:ilvl w:val="0"/>
          <w:numId w:val="8"/>
        </w:numPr>
        <w:tabs>
          <w:tab w:val="left" w:pos="8640"/>
        </w:tabs>
        <w:autoSpaceDE w:val="0"/>
        <w:autoSpaceDN w:val="0"/>
        <w:snapToGrid w:val="0"/>
        <w:spacing w:line="360" w:lineRule="auto"/>
        <w:ind w:firstLineChars="0"/>
        <w:jc w:val="left"/>
        <w:rPr>
          <w:rFonts w:ascii="宋体" w:hAnsi="宋体" w:cs="宋体"/>
          <w:bCs/>
          <w:color w:val="000000"/>
          <w:kern w:val="0"/>
          <w:sz w:val="24"/>
        </w:rPr>
      </w:pPr>
      <w:r>
        <w:rPr>
          <w:rFonts w:hint="eastAsia" w:ascii="宋体" w:hAnsi="宋体" w:cs="宋体"/>
          <w:bCs/>
          <w:color w:val="000000"/>
          <w:kern w:val="0"/>
          <w:sz w:val="24"/>
          <w:highlight w:val="green"/>
        </w:rPr>
        <w:t>水系统各种药剂明确用量，有据可依</w:t>
      </w:r>
      <w:r>
        <w:rPr>
          <w:rFonts w:hint="eastAsia" w:ascii="宋体" w:hAnsi="宋体" w:cs="宋体"/>
          <w:bCs/>
          <w:color w:val="000000"/>
          <w:kern w:val="0"/>
          <w:sz w:val="24"/>
        </w:rPr>
        <w:t>，保证水系统各项水质检测合格并出具检测报告。</w:t>
      </w:r>
    </w:p>
    <w:p>
      <w:pPr>
        <w:tabs>
          <w:tab w:val="left" w:pos="8640"/>
        </w:tabs>
        <w:autoSpaceDE w:val="0"/>
        <w:autoSpaceDN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1.运行说明：</w:t>
      </w:r>
    </w:p>
    <w:p>
      <w:pPr>
        <w:tabs>
          <w:tab w:val="left" w:pos="8640"/>
        </w:tabs>
        <w:autoSpaceDE w:val="0"/>
        <w:autoSpaceDN w:val="0"/>
        <w:snapToGrid w:val="0"/>
        <w:spacing w:line="360" w:lineRule="auto"/>
        <w:ind w:left="1125" w:leftChars="250" w:hanging="600" w:hangingChars="250"/>
        <w:jc w:val="left"/>
        <w:rPr>
          <w:rFonts w:ascii="宋体" w:hAnsi="宋体" w:cs="宋体"/>
          <w:bCs/>
          <w:color w:val="000000"/>
          <w:kern w:val="0"/>
          <w:sz w:val="24"/>
        </w:rPr>
      </w:pPr>
      <w:r>
        <w:rPr>
          <w:rFonts w:hint="eastAsia" w:ascii="宋体" w:hAnsi="宋体" w:cs="宋体"/>
          <w:bCs/>
          <w:color w:val="000000"/>
          <w:kern w:val="0"/>
          <w:sz w:val="24"/>
        </w:rPr>
        <w:t>（1）空调制冷运行期的第一个月，供应商必须派维保人员至少</w:t>
      </w:r>
      <w:r>
        <w:rPr>
          <w:rFonts w:ascii="宋体" w:hAnsi="宋体" w:cs="宋体"/>
          <w:bCs/>
          <w:color w:val="000000"/>
          <w:kern w:val="0"/>
          <w:sz w:val="24"/>
        </w:rPr>
        <w:t>1</w:t>
      </w:r>
      <w:r>
        <w:rPr>
          <w:rFonts w:hint="eastAsia" w:ascii="宋体" w:hAnsi="宋体" w:cs="宋体"/>
          <w:bCs/>
          <w:color w:val="000000"/>
          <w:kern w:val="0"/>
          <w:sz w:val="24"/>
        </w:rPr>
        <w:t>人常驻现场，工作时间为8：00-22：00。</w:t>
      </w:r>
    </w:p>
    <w:p>
      <w:pPr>
        <w:tabs>
          <w:tab w:val="left" w:pos="8640"/>
        </w:tabs>
        <w:autoSpaceDE w:val="0"/>
        <w:autoSpaceDN w:val="0"/>
        <w:snapToGrid w:val="0"/>
        <w:spacing w:line="360" w:lineRule="auto"/>
        <w:ind w:left="1125" w:leftChars="250" w:hanging="600" w:hangingChars="250"/>
        <w:jc w:val="left"/>
        <w:rPr>
          <w:rFonts w:ascii="宋体" w:hAnsi="宋体" w:cs="宋体"/>
          <w:bCs/>
          <w:color w:val="000000"/>
          <w:kern w:val="0"/>
          <w:sz w:val="24"/>
        </w:rPr>
      </w:pPr>
      <w:r>
        <w:rPr>
          <w:rFonts w:hint="eastAsia" w:ascii="宋体" w:hAnsi="宋体" w:cs="宋体"/>
          <w:bCs/>
          <w:color w:val="000000"/>
          <w:kern w:val="0"/>
          <w:sz w:val="24"/>
        </w:rPr>
        <w:t>（2）供应商对所承担的空调维保项目，维保人员要保证24小时通讯通畅，值班电话保证24小时有人接听。</w:t>
      </w:r>
    </w:p>
    <w:p>
      <w:pPr>
        <w:tabs>
          <w:tab w:val="left" w:pos="8640"/>
        </w:tabs>
        <w:autoSpaceDE w:val="0"/>
        <w:autoSpaceDN w:val="0"/>
        <w:snapToGrid w:val="0"/>
        <w:spacing w:line="360" w:lineRule="auto"/>
        <w:ind w:left="1125" w:leftChars="250" w:hanging="600" w:hangingChars="250"/>
        <w:jc w:val="left"/>
        <w:rPr>
          <w:rFonts w:ascii="宋体" w:hAnsi="宋体" w:cs="宋体"/>
          <w:bCs/>
          <w:color w:val="000000"/>
          <w:kern w:val="0"/>
          <w:sz w:val="24"/>
        </w:rPr>
      </w:pPr>
      <w:r>
        <w:rPr>
          <w:rFonts w:hint="eastAsia" w:ascii="宋体" w:hAnsi="宋体" w:cs="宋体"/>
          <w:bCs/>
          <w:color w:val="000000"/>
          <w:kern w:val="0"/>
          <w:sz w:val="24"/>
        </w:rPr>
        <w:t>（3）在工作日正常工作时间内（8:00-17:00），维保人员接到空调故障报修必须在30分钟内赶到现场及时解决故障，在其他时间（含周末节假日）接到空调故障报修必须在2小时内赶到现场解决故障。</w:t>
      </w:r>
    </w:p>
    <w:p>
      <w:pPr>
        <w:tabs>
          <w:tab w:val="left" w:pos="8640"/>
        </w:tabs>
        <w:autoSpaceDE w:val="0"/>
        <w:autoSpaceDN w:val="0"/>
        <w:snapToGrid w:val="0"/>
        <w:spacing w:line="360" w:lineRule="auto"/>
        <w:ind w:firstLine="361" w:firstLineChars="150"/>
        <w:jc w:val="left"/>
        <w:rPr>
          <w:rFonts w:ascii="宋体" w:hAnsi="宋体" w:cs="宋体"/>
          <w:b/>
          <w:color w:val="000000"/>
          <w:kern w:val="0"/>
          <w:sz w:val="24"/>
        </w:rPr>
      </w:pPr>
      <w:r>
        <w:rPr>
          <w:rFonts w:hint="eastAsia" w:ascii="宋体" w:hAnsi="宋体" w:cs="宋体"/>
          <w:b/>
          <w:color w:val="000000"/>
          <w:kern w:val="0"/>
          <w:sz w:val="24"/>
        </w:rPr>
        <w:t>2. 空调维修保养要求：</w:t>
      </w:r>
    </w:p>
    <w:p>
      <w:pPr>
        <w:tabs>
          <w:tab w:val="left" w:pos="8640"/>
        </w:tabs>
        <w:autoSpaceDE w:val="0"/>
        <w:autoSpaceDN w:val="0"/>
        <w:snapToGrid w:val="0"/>
        <w:spacing w:line="360" w:lineRule="auto"/>
        <w:ind w:left="1005" w:leftChars="250" w:hanging="480" w:hangingChars="200"/>
        <w:jc w:val="left"/>
        <w:rPr>
          <w:rFonts w:ascii="宋体" w:hAnsi="宋体" w:cs="宋体"/>
          <w:bCs/>
          <w:color w:val="000000"/>
          <w:kern w:val="0"/>
          <w:sz w:val="24"/>
        </w:rPr>
      </w:pPr>
      <w:r>
        <w:rPr>
          <w:rFonts w:hint="eastAsia" w:ascii="宋体" w:hAnsi="宋体" w:cs="宋体"/>
          <w:bCs/>
          <w:color w:val="000000"/>
          <w:kern w:val="0"/>
          <w:sz w:val="24"/>
        </w:rPr>
        <w:t>（1）</w:t>
      </w:r>
      <w:r>
        <w:rPr>
          <w:rFonts w:hint="eastAsia" w:ascii="宋体" w:hAnsi="宋体" w:cs="宋体"/>
          <w:bCs/>
          <w:color w:val="000000"/>
          <w:kern w:val="0"/>
          <w:sz w:val="24"/>
          <w:highlight w:val="green"/>
        </w:rPr>
        <w:t>必须保证制冷主机24小时无故障运行，保证每台空调室内、外机的正常运行状态。</w:t>
      </w:r>
    </w:p>
    <w:p>
      <w:pPr>
        <w:tabs>
          <w:tab w:val="left" w:pos="8640"/>
        </w:tabs>
        <w:autoSpaceDE w:val="0"/>
        <w:autoSpaceDN w:val="0"/>
        <w:snapToGrid w:val="0"/>
        <w:spacing w:line="360" w:lineRule="auto"/>
        <w:ind w:left="1005" w:leftChars="250" w:hanging="480" w:hangingChars="200"/>
        <w:jc w:val="left"/>
        <w:rPr>
          <w:rFonts w:ascii="宋体" w:hAnsi="宋体" w:cs="宋体"/>
          <w:bCs/>
          <w:color w:val="000000"/>
          <w:kern w:val="0"/>
          <w:sz w:val="24"/>
        </w:rPr>
      </w:pPr>
      <w:r>
        <w:rPr>
          <w:rFonts w:hint="eastAsia" w:ascii="宋体" w:hAnsi="宋体" w:cs="宋体"/>
          <w:bCs/>
          <w:color w:val="000000"/>
          <w:kern w:val="0"/>
          <w:sz w:val="24"/>
        </w:rPr>
        <w:t>（2）保养合同为期一年，合同期满一年后，视维保质量决定是否续签合同，续签不超过两次。</w:t>
      </w:r>
    </w:p>
    <w:p>
      <w:pPr>
        <w:tabs>
          <w:tab w:val="left" w:pos="8640"/>
        </w:tabs>
        <w:autoSpaceDE w:val="0"/>
        <w:autoSpaceDN w:val="0"/>
        <w:snapToGrid w:val="0"/>
        <w:spacing w:line="360" w:lineRule="auto"/>
        <w:ind w:left="1005" w:leftChars="250" w:hanging="480" w:hangingChars="200"/>
        <w:jc w:val="left"/>
        <w:rPr>
          <w:rFonts w:ascii="宋体" w:hAnsi="宋体" w:cs="宋体"/>
          <w:bCs/>
          <w:color w:val="000000"/>
          <w:kern w:val="0"/>
          <w:sz w:val="24"/>
        </w:rPr>
      </w:pPr>
      <w:r>
        <w:rPr>
          <w:rFonts w:hint="eastAsia" w:ascii="宋体" w:hAnsi="宋体" w:cs="宋体"/>
          <w:bCs/>
          <w:color w:val="000000"/>
          <w:kern w:val="0"/>
          <w:sz w:val="24"/>
        </w:rPr>
        <w:t>（3）</w:t>
      </w:r>
      <w:r>
        <w:rPr>
          <w:rFonts w:hint="eastAsia" w:ascii="宋体" w:hAnsi="宋体" w:cs="宋体"/>
          <w:bCs/>
          <w:color w:val="000000"/>
          <w:kern w:val="0"/>
          <w:sz w:val="24"/>
          <w:highlight w:val="green"/>
        </w:rPr>
        <w:t>空调维修保养服务清单内所需全部零部件和添加的制冷剂、药剂等全部归供应商承担</w:t>
      </w:r>
      <w:r>
        <w:rPr>
          <w:rFonts w:hint="eastAsia" w:ascii="宋体" w:hAnsi="宋体" w:cs="宋体"/>
          <w:bCs/>
          <w:color w:val="000000"/>
          <w:kern w:val="0"/>
          <w:sz w:val="24"/>
          <w:highlight w:val="yellow"/>
        </w:rPr>
        <w:t>，采购人不承担任何费用，供应商无偿提供的零部件全部为现制冷设备原厂配件并提供原厂证明，所需零部件由采购人认可后方可更换，替换下来的废旧零部件交采购人单位存查。</w:t>
      </w:r>
    </w:p>
    <w:p>
      <w:pPr>
        <w:tabs>
          <w:tab w:val="left" w:pos="8640"/>
        </w:tabs>
        <w:autoSpaceDE w:val="0"/>
        <w:autoSpaceDN w:val="0"/>
        <w:snapToGrid w:val="0"/>
        <w:spacing w:line="360" w:lineRule="auto"/>
        <w:ind w:left="1110" w:leftChars="300" w:hanging="480" w:hangingChars="200"/>
        <w:jc w:val="left"/>
        <w:rPr>
          <w:rFonts w:ascii="宋体" w:hAnsi="宋体" w:cs="宋体"/>
          <w:bCs/>
          <w:color w:val="000000"/>
          <w:kern w:val="0"/>
          <w:sz w:val="24"/>
        </w:rPr>
      </w:pPr>
      <w:r>
        <w:rPr>
          <w:rFonts w:hint="eastAsia" w:ascii="宋体" w:hAnsi="宋体" w:cs="宋体"/>
          <w:bCs/>
          <w:color w:val="000000"/>
          <w:kern w:val="0"/>
          <w:sz w:val="24"/>
        </w:rPr>
        <w:t>（4）</w:t>
      </w:r>
      <w:r>
        <w:rPr>
          <w:rFonts w:hint="eastAsia" w:ascii="宋体" w:hAnsi="宋体"/>
          <w:sz w:val="24"/>
          <w:highlight w:val="yellow"/>
        </w:rPr>
        <w:t>本次维保项目服务清单内各项</w:t>
      </w:r>
      <w:r>
        <w:rPr>
          <w:rFonts w:hint="eastAsia" w:ascii="宋体" w:hAnsi="宋体" w:cs="宋体"/>
          <w:bCs/>
          <w:color w:val="000000"/>
          <w:kern w:val="0"/>
          <w:sz w:val="24"/>
          <w:highlight w:val="yellow"/>
        </w:rPr>
        <w:t>报价应按设备清单分别列出，列明单台报价明细，其中包含所有维保成本，比如：人工、耗材、</w:t>
      </w:r>
      <w:r>
        <w:rPr>
          <w:rFonts w:hint="eastAsia" w:ascii="宋体" w:hAnsi="宋体" w:cs="宋体"/>
          <w:bCs/>
          <w:color w:val="000000"/>
          <w:kern w:val="0"/>
          <w:sz w:val="24"/>
          <w:highlight w:val="magenta"/>
        </w:rPr>
        <w:t>配件等</w:t>
      </w:r>
      <w:r>
        <w:rPr>
          <w:rFonts w:hint="eastAsia" w:ascii="宋体" w:hAnsi="宋体" w:cs="宋体"/>
          <w:bCs/>
          <w:color w:val="000000"/>
          <w:kern w:val="0"/>
          <w:sz w:val="24"/>
          <w:highlight w:val="yellow"/>
        </w:rPr>
        <w:t>，并汇总为每年维保总费用金额。</w:t>
      </w:r>
    </w:p>
    <w:p>
      <w:pPr>
        <w:tabs>
          <w:tab w:val="left" w:pos="8640"/>
        </w:tabs>
        <w:autoSpaceDE w:val="0"/>
        <w:autoSpaceDN w:val="0"/>
        <w:snapToGrid w:val="0"/>
        <w:spacing w:line="360" w:lineRule="auto"/>
        <w:ind w:left="1215" w:leftChars="350" w:hanging="480" w:hangingChars="200"/>
        <w:jc w:val="left"/>
        <w:rPr>
          <w:rFonts w:ascii="宋体" w:hAnsi="宋体" w:cs="宋体"/>
          <w:bCs/>
          <w:color w:val="000000"/>
          <w:kern w:val="0"/>
          <w:sz w:val="24"/>
        </w:rPr>
      </w:pPr>
      <w:r>
        <w:rPr>
          <w:rFonts w:hint="eastAsia" w:ascii="宋体" w:hAnsi="宋体"/>
          <w:sz w:val="24"/>
        </w:rPr>
        <w:t>（5）供应商需根据以往类似维保项目的经验单独列明除服务清单以外的《备件清单》及报价（此部分报价不包含在本次维保项目费用中）</w:t>
      </w:r>
      <w:r>
        <w:rPr>
          <w:rFonts w:hint="eastAsia"/>
          <w:sz w:val="24"/>
        </w:rPr>
        <w:t>由我单位留存</w:t>
      </w:r>
      <w:r>
        <w:rPr>
          <w:rFonts w:hint="eastAsia" w:ascii="宋体" w:hAnsi="宋体"/>
          <w:sz w:val="24"/>
        </w:rPr>
        <w:t>。</w:t>
      </w:r>
    </w:p>
    <w:p>
      <w:pPr>
        <w:tabs>
          <w:tab w:val="left" w:pos="8640"/>
        </w:tabs>
        <w:autoSpaceDE w:val="0"/>
        <w:autoSpaceDN w:val="0"/>
        <w:snapToGrid w:val="0"/>
        <w:spacing w:line="360" w:lineRule="auto"/>
        <w:ind w:firstLine="720" w:firstLineChars="300"/>
        <w:jc w:val="left"/>
        <w:rPr>
          <w:rFonts w:ascii="宋体" w:hAnsi="宋体" w:cs="宋体"/>
          <w:bCs/>
          <w:color w:val="000000"/>
          <w:kern w:val="0"/>
          <w:sz w:val="24"/>
        </w:rPr>
      </w:pPr>
      <w:r>
        <w:rPr>
          <w:rFonts w:hint="eastAsia" w:ascii="宋体" w:hAnsi="宋体" w:cs="宋体"/>
          <w:bCs/>
          <w:color w:val="000000"/>
          <w:kern w:val="0"/>
          <w:sz w:val="24"/>
        </w:rPr>
        <w:t>（6）免费提供制冷主机主控设备升级服务。</w:t>
      </w:r>
    </w:p>
    <w:p>
      <w:pPr>
        <w:tabs>
          <w:tab w:val="left" w:pos="8640"/>
        </w:tabs>
        <w:autoSpaceDE w:val="0"/>
        <w:autoSpaceDN w:val="0"/>
        <w:snapToGrid w:val="0"/>
        <w:spacing w:line="360" w:lineRule="auto"/>
        <w:ind w:left="1215" w:leftChars="350" w:hanging="480" w:hangingChars="200"/>
        <w:jc w:val="left"/>
        <w:rPr>
          <w:rFonts w:ascii="宋体" w:hAnsi="宋体" w:cs="宋体"/>
          <w:bCs/>
          <w:color w:val="000000"/>
          <w:kern w:val="0"/>
        </w:rPr>
      </w:pPr>
      <w:r>
        <w:rPr>
          <w:rFonts w:hint="eastAsia" w:ascii="宋体" w:hAnsi="宋体" w:cs="宋体"/>
          <w:bCs/>
          <w:color w:val="000000"/>
          <w:kern w:val="0"/>
          <w:sz w:val="24"/>
        </w:rPr>
        <w:t>（7）设备维保人员要严格按安全操作规程和设备运行操作规程工作，并严格 遵守采购人的各项规章制度，遵守中华人民共和国法律法规。</w:t>
      </w:r>
    </w:p>
    <w:p>
      <w:pPr>
        <w:tabs>
          <w:tab w:val="left" w:pos="8640"/>
        </w:tabs>
        <w:autoSpaceDE w:val="0"/>
        <w:autoSpaceDN w:val="0"/>
        <w:snapToGrid w:val="0"/>
        <w:spacing w:line="360" w:lineRule="auto"/>
        <w:ind w:firstLine="1205"/>
        <w:jc w:val="left"/>
        <w:rPr>
          <w:rFonts w:ascii="宋体" w:hAnsi="宋体" w:cs="宋体"/>
          <w:b/>
          <w:bCs/>
          <w:color w:val="000000"/>
          <w:kern w:val="0"/>
        </w:rPr>
      </w:pPr>
      <w:r>
        <w:rPr>
          <w:rFonts w:hint="eastAsia" w:ascii="宋体" w:hAnsi="宋体" w:cs="宋体"/>
          <w:b/>
          <w:bCs/>
          <w:color w:val="000000"/>
          <w:kern w:val="0"/>
        </w:rPr>
        <w:t xml:space="preserve"> </w:t>
      </w:r>
      <w:r>
        <w:rPr>
          <w:rFonts w:ascii="宋体" w:hAnsi="宋体" w:cs="宋体"/>
          <w:b/>
          <w:bCs/>
          <w:color w:val="000000"/>
          <w:kern w:val="0"/>
        </w:rPr>
        <w:t xml:space="preserve">   </w:t>
      </w:r>
    </w:p>
    <w:p>
      <w:pPr>
        <w:tabs>
          <w:tab w:val="left" w:pos="8640"/>
        </w:tabs>
        <w:autoSpaceDE w:val="0"/>
        <w:autoSpaceDN w:val="0"/>
        <w:snapToGrid w:val="0"/>
        <w:spacing w:line="360" w:lineRule="auto"/>
        <w:ind w:firstLine="1205"/>
        <w:jc w:val="left"/>
        <w:rPr>
          <w:rFonts w:ascii="宋体" w:hAnsi="宋体"/>
          <w:b/>
          <w:bCs/>
          <w:sz w:val="24"/>
        </w:rPr>
      </w:pPr>
      <w:r>
        <w:rPr>
          <w:rFonts w:ascii="宋体" w:hAnsi="宋体" w:cs="宋体"/>
          <w:b/>
          <w:bCs/>
          <w:color w:val="000000"/>
          <w:kern w:val="0"/>
        </w:rPr>
        <w:t xml:space="preserve"> </w:t>
      </w:r>
      <w:bookmarkStart w:id="170" w:name="_Toc71643643"/>
      <w:r>
        <w:rPr>
          <w:rFonts w:ascii="宋体" w:hAnsi="宋体" w:cs="宋体"/>
          <w:b/>
          <w:bCs/>
          <w:color w:val="000000"/>
          <w:kern w:val="0"/>
        </w:rPr>
        <w:t xml:space="preserve">  </w:t>
      </w:r>
      <w:r>
        <w:rPr>
          <w:rFonts w:hint="eastAsia" w:ascii="宋体" w:hAnsi="宋体"/>
          <w:b/>
          <w:bCs/>
          <w:sz w:val="24"/>
        </w:rPr>
        <w:t>3.</w:t>
      </w:r>
      <w:r>
        <w:rPr>
          <w:rFonts w:ascii="宋体" w:hAnsi="宋体"/>
          <w:b/>
          <w:bCs/>
          <w:sz w:val="24"/>
        </w:rPr>
        <w:t xml:space="preserve"> </w:t>
      </w:r>
      <w:r>
        <w:rPr>
          <w:rFonts w:hint="eastAsia" w:ascii="宋体" w:hAnsi="宋体"/>
          <w:b/>
          <w:bCs/>
          <w:sz w:val="24"/>
        </w:rPr>
        <w:t>适用的法律法规标准规范</w:t>
      </w:r>
      <w:bookmarkEnd w:id="170"/>
    </w:p>
    <w:p>
      <w:pPr>
        <w:spacing w:line="360" w:lineRule="auto"/>
        <w:ind w:firstLine="480" w:firstLineChars="200"/>
        <w:jc w:val="left"/>
        <w:rPr>
          <w:rFonts w:ascii="宋体" w:hAnsi="宋体" w:cs="宋体"/>
          <w:sz w:val="24"/>
        </w:rPr>
      </w:pPr>
      <w:r>
        <w:rPr>
          <w:rFonts w:hint="eastAsia" w:ascii="宋体" w:hAnsi="宋体" w:cs="宋体"/>
          <w:sz w:val="24"/>
        </w:rPr>
        <w:t>2006年2月10日实施的《公共场所集中空调通风系统卫生管理办法》。</w:t>
      </w:r>
    </w:p>
    <w:p>
      <w:pPr>
        <w:spacing w:line="360" w:lineRule="auto"/>
        <w:ind w:firstLine="480" w:firstLineChars="200"/>
        <w:jc w:val="left"/>
        <w:rPr>
          <w:rFonts w:ascii="宋体" w:hAnsi="宋体" w:cs="宋体"/>
          <w:sz w:val="24"/>
        </w:rPr>
      </w:pPr>
      <w:r>
        <w:rPr>
          <w:rFonts w:hint="eastAsia" w:ascii="宋体" w:hAnsi="宋体" w:cs="宋体"/>
          <w:sz w:val="24"/>
        </w:rPr>
        <w:t>2011年1月1日实施的《污水排入城镇下水道水质标准》。</w:t>
      </w:r>
    </w:p>
    <w:p>
      <w:pPr>
        <w:spacing w:line="360" w:lineRule="auto"/>
        <w:ind w:firstLine="480" w:firstLineChars="200"/>
        <w:jc w:val="left"/>
        <w:rPr>
          <w:rFonts w:ascii="宋体" w:hAnsi="宋体" w:cs="宋体"/>
          <w:sz w:val="24"/>
        </w:rPr>
      </w:pPr>
      <w:r>
        <w:rPr>
          <w:rFonts w:hint="eastAsia" w:ascii="宋体" w:hAnsi="宋体" w:cs="宋体"/>
          <w:sz w:val="24"/>
        </w:rPr>
        <w:t>2013年9月1日实施的《采暖空调系统水质》GB/T29044-2012国家标准。</w:t>
      </w:r>
    </w:p>
    <w:p>
      <w:pPr>
        <w:spacing w:line="360" w:lineRule="auto"/>
        <w:ind w:firstLine="480" w:firstLineChars="200"/>
        <w:rPr>
          <w:rFonts w:ascii="宋体" w:hAnsi="宋体"/>
          <w:sz w:val="24"/>
        </w:rPr>
      </w:pPr>
      <w:r>
        <w:rPr>
          <w:rFonts w:hint="eastAsia" w:ascii="宋体" w:hAnsi="宋体" w:cs="宋体"/>
          <w:sz w:val="24"/>
        </w:rPr>
        <w:t>2015年1月1日实施的新环保法《水污染防治法》。</w:t>
      </w:r>
    </w:p>
    <w:p>
      <w:pPr>
        <w:tabs>
          <w:tab w:val="left" w:pos="8640"/>
        </w:tabs>
        <w:autoSpaceDE w:val="0"/>
        <w:autoSpaceDN w:val="0"/>
        <w:snapToGrid w:val="0"/>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其他适用法律法规</w:t>
      </w:r>
    </w:p>
    <w:p>
      <w:pPr>
        <w:tabs>
          <w:tab w:val="left" w:pos="8640"/>
        </w:tabs>
        <w:autoSpaceDE w:val="0"/>
        <w:autoSpaceDN w:val="0"/>
        <w:snapToGrid w:val="0"/>
        <w:ind w:firstLine="1205"/>
        <w:jc w:val="left"/>
        <w:rPr>
          <w:rFonts w:ascii="宋体" w:hAnsi="宋体" w:cs="宋体"/>
          <w:b/>
          <w:bCs/>
          <w:color w:val="000000"/>
          <w:kern w:val="0"/>
        </w:rPr>
      </w:pPr>
    </w:p>
    <w:p>
      <w:pPr>
        <w:tabs>
          <w:tab w:val="left" w:pos="8640"/>
        </w:tabs>
        <w:autoSpaceDE w:val="0"/>
        <w:autoSpaceDN w:val="0"/>
        <w:snapToGrid w:val="0"/>
        <w:ind w:firstLine="1205"/>
        <w:jc w:val="left"/>
        <w:rPr>
          <w:rFonts w:ascii="宋体" w:hAnsi="宋体" w:cs="宋体"/>
          <w:b/>
          <w:bCs/>
          <w:color w:val="000000"/>
          <w:kern w:val="0"/>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ind w:firstLine="1200"/>
        <w:rPr>
          <w:rFonts w:ascii="宋体" w:hAnsi="宋体"/>
          <w:sz w:val="24"/>
        </w:rPr>
      </w:pPr>
    </w:p>
    <w:p>
      <w:pPr>
        <w:widowControl/>
        <w:spacing w:line="480" w:lineRule="auto"/>
        <w:ind w:firstLine="1205"/>
        <w:jc w:val="left"/>
        <w:rPr>
          <w:rFonts w:ascii="宋体" w:hAnsi="宋体"/>
          <w:b/>
          <w:sz w:val="24"/>
        </w:rPr>
        <w:sectPr>
          <w:footnotePr>
            <w:numRestart w:val="eachPage"/>
          </w:footnotePr>
          <w:pgSz w:w="11906" w:h="16838"/>
          <w:pgMar w:top="1418" w:right="1418" w:bottom="1418" w:left="1418" w:header="851" w:footer="992" w:gutter="0"/>
          <w:cols w:space="720" w:num="1"/>
        </w:sectPr>
      </w:pPr>
    </w:p>
    <w:p>
      <w:pPr>
        <w:rPr>
          <w:rFonts w:ascii="宋体" w:hAnsi="宋体"/>
          <w:sz w:val="24"/>
        </w:rPr>
      </w:pPr>
      <w:bookmarkStart w:id="171" w:name="_Toc20230579"/>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2"/>
        <w:rPr>
          <w:sz w:val="36"/>
        </w:rPr>
      </w:pPr>
      <w:bookmarkStart w:id="172" w:name="_Toc42114263"/>
      <w:r>
        <w:rPr>
          <w:rFonts w:hint="eastAsia"/>
          <w:sz w:val="36"/>
        </w:rPr>
        <w:t>第五部分</w:t>
      </w:r>
      <w:r>
        <w:rPr>
          <w:sz w:val="36"/>
        </w:rPr>
        <w:t xml:space="preserve"> </w:t>
      </w:r>
      <w:r>
        <w:rPr>
          <w:rFonts w:hint="eastAsia"/>
          <w:sz w:val="36"/>
        </w:rPr>
        <w:t>响应文件格式</w:t>
      </w:r>
      <w:bookmarkEnd w:id="172"/>
    </w:p>
    <w:p>
      <w:pPr>
        <w:spacing w:line="360" w:lineRule="auto"/>
        <w:ind w:right="18" w:firstLine="480"/>
        <w:rPr>
          <w:rFonts w:ascii="宋体" w:hAnsi="宋体" w:cs="宋体"/>
          <w:sz w:val="24"/>
        </w:rPr>
      </w:pPr>
      <w:r>
        <w:rPr>
          <w:rFonts w:hint="eastAsia" w:ascii="宋体" w:hAnsi="宋体" w:cs="宋体"/>
          <w:sz w:val="24"/>
        </w:rPr>
        <w:t>（封面格式）</w:t>
      </w:r>
    </w:p>
    <w:p>
      <w:pPr>
        <w:spacing w:line="360" w:lineRule="auto"/>
        <w:ind w:right="18"/>
        <w:jc w:val="right"/>
        <w:rPr>
          <w:rFonts w:ascii="宋体" w:hAnsi="宋体" w:cs="宋体"/>
          <w:b/>
          <w:sz w:val="32"/>
        </w:rPr>
      </w:pPr>
      <w:r>
        <w:rPr>
          <w:rFonts w:hint="eastAsia" w:ascii="宋体" w:hAnsi="宋体" w:cs="宋体"/>
          <w:b/>
          <w:sz w:val="32"/>
        </w:rPr>
        <w:t>正本/副本</w:t>
      </w:r>
    </w:p>
    <w:p>
      <w:pPr>
        <w:spacing w:line="360" w:lineRule="auto"/>
        <w:ind w:right="18" w:firstLine="480"/>
        <w:rPr>
          <w:rFonts w:ascii="宋体" w:hAnsi="宋体" w:cs="宋体"/>
          <w:b/>
          <w:sz w:val="72"/>
          <w:szCs w:val="72"/>
        </w:rPr>
      </w:pPr>
    </w:p>
    <w:p>
      <w:pPr>
        <w:spacing w:line="360" w:lineRule="auto"/>
        <w:ind w:right="18" w:firstLine="14"/>
        <w:jc w:val="center"/>
        <w:rPr>
          <w:rFonts w:ascii="宋体" w:hAnsi="宋体" w:cs="宋体"/>
          <w:b/>
          <w:sz w:val="44"/>
          <w:szCs w:val="52"/>
        </w:rPr>
      </w:pPr>
      <w:r>
        <w:rPr>
          <w:rFonts w:hint="eastAsia" w:ascii="宋体" w:hAnsi="宋体" w:cs="宋体"/>
          <w:b/>
          <w:sz w:val="44"/>
          <w:szCs w:val="52"/>
        </w:rPr>
        <w:t>北京纳米能源与系统研究所</w:t>
      </w:r>
    </w:p>
    <w:p>
      <w:pPr>
        <w:spacing w:line="360" w:lineRule="auto"/>
        <w:ind w:right="18" w:firstLine="14"/>
        <w:jc w:val="center"/>
        <w:rPr>
          <w:rFonts w:ascii="宋体" w:hAnsi="宋体" w:cs="宋体"/>
          <w:b/>
          <w:sz w:val="44"/>
          <w:szCs w:val="52"/>
        </w:rPr>
      </w:pPr>
      <w:r>
        <w:rPr>
          <w:rFonts w:hint="eastAsia" w:ascii="宋体" w:hAnsi="宋体" w:cs="宋体"/>
          <w:b/>
          <w:sz w:val="44"/>
          <w:szCs w:val="52"/>
          <w:lang w:val="en-US" w:eastAsia="zh-CN"/>
        </w:rPr>
        <w:t>2024年</w:t>
      </w:r>
      <w:r>
        <w:rPr>
          <w:rFonts w:hint="eastAsia" w:ascii="宋体" w:hAnsi="宋体" w:cs="宋体"/>
          <w:b/>
          <w:sz w:val="44"/>
          <w:szCs w:val="52"/>
        </w:rPr>
        <w:t>空调系统</w:t>
      </w:r>
      <w:r>
        <w:rPr>
          <w:rFonts w:hint="eastAsia" w:ascii="宋体" w:hAnsi="宋体" w:cs="宋体"/>
          <w:b/>
          <w:sz w:val="44"/>
          <w:szCs w:val="52"/>
          <w:lang w:val="en-US" w:eastAsia="zh-CN"/>
        </w:rPr>
        <w:t>维护保养</w:t>
      </w:r>
      <w:r>
        <w:rPr>
          <w:rFonts w:hint="eastAsia" w:ascii="宋体" w:hAnsi="宋体" w:cs="宋体"/>
          <w:b/>
          <w:sz w:val="44"/>
          <w:szCs w:val="52"/>
        </w:rPr>
        <w:t>项目</w:t>
      </w:r>
    </w:p>
    <w:p>
      <w:pPr>
        <w:spacing w:line="360" w:lineRule="auto"/>
        <w:ind w:right="18" w:firstLine="14"/>
        <w:jc w:val="center"/>
        <w:rPr>
          <w:rFonts w:ascii="宋体" w:hAnsi="宋体" w:cs="宋体"/>
          <w:b/>
          <w:sz w:val="52"/>
          <w:szCs w:val="52"/>
        </w:rPr>
      </w:pPr>
    </w:p>
    <w:p>
      <w:pPr>
        <w:spacing w:line="360" w:lineRule="auto"/>
        <w:ind w:right="18" w:firstLine="14"/>
        <w:jc w:val="center"/>
        <w:rPr>
          <w:rFonts w:ascii="宋体" w:hAnsi="宋体" w:cs="宋体"/>
          <w:b/>
          <w:sz w:val="52"/>
          <w:szCs w:val="72"/>
        </w:rPr>
      </w:pPr>
      <w:r>
        <w:rPr>
          <w:rFonts w:hint="eastAsia" w:ascii="宋体" w:hAnsi="宋体" w:cs="宋体"/>
          <w:b/>
          <w:sz w:val="52"/>
          <w:szCs w:val="72"/>
        </w:rPr>
        <w:t>响应文件</w:t>
      </w:r>
    </w:p>
    <w:p>
      <w:pPr>
        <w:spacing w:line="360" w:lineRule="auto"/>
        <w:ind w:right="18" w:firstLine="480"/>
        <w:rPr>
          <w:rFonts w:ascii="宋体" w:hAnsi="宋体" w:cs="宋体"/>
          <w:b/>
          <w:sz w:val="24"/>
        </w:rPr>
      </w:pPr>
    </w:p>
    <w:p>
      <w:pPr>
        <w:spacing w:line="360" w:lineRule="auto"/>
        <w:ind w:right="18" w:firstLine="480"/>
        <w:rPr>
          <w:rFonts w:ascii="宋体" w:hAnsi="宋体" w:cs="宋体"/>
          <w:b/>
          <w:sz w:val="24"/>
        </w:rPr>
      </w:pPr>
    </w:p>
    <w:p>
      <w:pPr>
        <w:spacing w:line="360" w:lineRule="auto"/>
        <w:ind w:right="18" w:firstLine="480"/>
        <w:rPr>
          <w:rFonts w:ascii="宋体" w:hAnsi="宋体" w:cs="宋体"/>
          <w:b/>
          <w:sz w:val="24"/>
        </w:rPr>
      </w:pPr>
    </w:p>
    <w:p>
      <w:pPr>
        <w:spacing w:line="360" w:lineRule="auto"/>
        <w:ind w:right="18" w:firstLine="480"/>
        <w:rPr>
          <w:rFonts w:ascii="宋体" w:hAnsi="宋体" w:cs="宋体"/>
          <w:b/>
          <w:sz w:val="24"/>
        </w:rPr>
      </w:pPr>
    </w:p>
    <w:p>
      <w:pPr>
        <w:spacing w:line="360" w:lineRule="auto"/>
        <w:ind w:right="18" w:firstLine="480"/>
        <w:rPr>
          <w:rFonts w:ascii="宋体" w:hAnsi="宋体" w:cs="宋体"/>
          <w:b/>
          <w:sz w:val="24"/>
        </w:rPr>
      </w:pPr>
    </w:p>
    <w:p>
      <w:pPr>
        <w:spacing w:line="360" w:lineRule="auto"/>
        <w:ind w:right="18"/>
        <w:rPr>
          <w:rFonts w:ascii="宋体" w:hAnsi="宋体" w:cs="宋体"/>
          <w:b/>
          <w:sz w:val="28"/>
          <w:szCs w:val="28"/>
        </w:rPr>
      </w:pPr>
    </w:p>
    <w:p>
      <w:pPr>
        <w:spacing w:line="480" w:lineRule="auto"/>
        <w:ind w:right="17"/>
        <w:rPr>
          <w:rFonts w:ascii="宋体" w:hAnsi="宋体" w:cs="宋体"/>
          <w:b/>
          <w:sz w:val="28"/>
          <w:szCs w:val="28"/>
        </w:rPr>
      </w:pPr>
      <w:r>
        <w:rPr>
          <w:rFonts w:hint="eastAsia" w:ascii="宋体" w:hAnsi="宋体" w:cs="宋体"/>
          <w:sz w:val="28"/>
          <w:szCs w:val="28"/>
        </w:rPr>
        <w:t xml:space="preserve">   </w:t>
      </w:r>
      <w:r>
        <w:rPr>
          <w:rFonts w:hint="eastAsia" w:ascii="宋体" w:hAnsi="宋体" w:cs="宋体"/>
          <w:b/>
          <w:sz w:val="28"/>
          <w:szCs w:val="28"/>
        </w:rPr>
        <w:t xml:space="preserve"> 供应商名称（盖单位章）：</w:t>
      </w:r>
      <w:r>
        <w:rPr>
          <w:rFonts w:hint="eastAsia" w:ascii="宋体" w:hAnsi="宋体" w:cs="宋体"/>
          <w:b/>
          <w:sz w:val="28"/>
          <w:szCs w:val="28"/>
          <w:u w:val="single"/>
        </w:rPr>
        <w:t xml:space="preserve">                               </w:t>
      </w:r>
    </w:p>
    <w:p>
      <w:pPr>
        <w:spacing w:line="480" w:lineRule="auto"/>
        <w:ind w:right="17" w:firstLine="562" w:firstLineChars="200"/>
        <w:rPr>
          <w:rFonts w:ascii="宋体" w:hAnsi="宋体" w:cs="宋体"/>
          <w:b/>
          <w:sz w:val="28"/>
          <w:szCs w:val="28"/>
          <w:u w:val="single"/>
        </w:rPr>
      </w:pPr>
      <w:r>
        <w:rPr>
          <w:rFonts w:hint="eastAsia" w:ascii="宋体" w:hAnsi="宋体" w:cs="宋体"/>
          <w:b/>
          <w:sz w:val="28"/>
          <w:szCs w:val="28"/>
        </w:rPr>
        <w:t>法定代表人或授权委托人（签字或盖章）</w:t>
      </w:r>
      <w:r>
        <w:rPr>
          <w:rFonts w:hint="eastAsia" w:ascii="宋体" w:hAnsi="宋体"/>
          <w:sz w:val="24"/>
        </w:rPr>
        <w:t>：</w:t>
      </w:r>
      <w:r>
        <w:rPr>
          <w:rFonts w:hint="eastAsia" w:ascii="宋体" w:hAnsi="宋体" w:cs="宋体"/>
          <w:b/>
          <w:sz w:val="28"/>
          <w:szCs w:val="28"/>
          <w:u w:val="single"/>
        </w:rPr>
        <w:t xml:space="preserve">                  </w:t>
      </w:r>
    </w:p>
    <w:p>
      <w:pPr>
        <w:spacing w:line="360" w:lineRule="auto"/>
        <w:ind w:right="18"/>
        <w:rPr>
          <w:rFonts w:ascii="宋体" w:hAnsi="宋体" w:cs="宋体"/>
          <w:b/>
          <w:sz w:val="28"/>
          <w:szCs w:val="28"/>
        </w:rPr>
      </w:pPr>
      <w:r>
        <w:rPr>
          <w:rFonts w:hint="eastAsia" w:ascii="宋体" w:hAnsi="宋体" w:cs="宋体"/>
          <w:b/>
          <w:sz w:val="28"/>
          <w:szCs w:val="28"/>
        </w:rPr>
        <w:t xml:space="preserve">    日      期：</w:t>
      </w:r>
      <w:r>
        <w:rPr>
          <w:rFonts w:hint="eastAsia" w:ascii="宋体" w:hAnsi="宋体" w:cs="宋体"/>
          <w:b/>
          <w:sz w:val="24"/>
          <w:u w:val="single"/>
        </w:rPr>
        <w:t xml:space="preserve">             </w:t>
      </w:r>
      <w:r>
        <w:rPr>
          <w:rFonts w:hint="eastAsia" w:ascii="宋体" w:hAnsi="宋体" w:cs="宋体"/>
          <w:b/>
          <w:sz w:val="28"/>
          <w:szCs w:val="28"/>
        </w:rPr>
        <w:t>年</w:t>
      </w:r>
      <w:r>
        <w:rPr>
          <w:rFonts w:hint="eastAsia" w:ascii="宋体" w:hAnsi="宋体" w:cs="宋体"/>
          <w:b/>
          <w:sz w:val="24"/>
          <w:u w:val="single"/>
        </w:rPr>
        <w:t xml:space="preserve">          </w:t>
      </w:r>
      <w:r>
        <w:rPr>
          <w:rFonts w:hint="eastAsia" w:ascii="宋体" w:hAnsi="宋体" w:cs="宋体"/>
          <w:b/>
          <w:sz w:val="28"/>
          <w:szCs w:val="28"/>
        </w:rPr>
        <w:t>月</w:t>
      </w:r>
      <w:r>
        <w:rPr>
          <w:rFonts w:hint="eastAsia" w:ascii="宋体" w:hAnsi="宋体" w:cs="宋体"/>
          <w:b/>
          <w:sz w:val="24"/>
          <w:u w:val="single"/>
        </w:rPr>
        <w:t xml:space="preserve">             </w:t>
      </w:r>
      <w:r>
        <w:rPr>
          <w:rFonts w:hint="eastAsia" w:ascii="宋体" w:hAnsi="宋体" w:cs="宋体"/>
          <w:b/>
          <w:sz w:val="28"/>
          <w:szCs w:val="28"/>
        </w:rPr>
        <w:t>日</w:t>
      </w:r>
    </w:p>
    <w:p/>
    <w:p>
      <w:pPr>
        <w:jc w:val="left"/>
        <w:rPr>
          <w:color w:val="000000"/>
          <w:sz w:val="20"/>
        </w:rPr>
      </w:pPr>
      <w:r>
        <w:rPr>
          <w:color w:val="000000"/>
          <w:sz w:val="20"/>
        </w:rPr>
        <w:br w:type="page"/>
      </w:r>
    </w:p>
    <w:p>
      <w:pPr>
        <w:pStyle w:val="4"/>
        <w:spacing w:before="0" w:after="0" w:line="360" w:lineRule="auto"/>
        <w:jc w:val="center"/>
        <w:rPr>
          <w:rFonts w:hint="default" w:ascii="宋体" w:hAnsi="宋体" w:eastAsia="宋体"/>
          <w:sz w:val="28"/>
          <w:szCs w:val="28"/>
          <w:lang w:val="en-US" w:eastAsia="zh-CN"/>
        </w:rPr>
      </w:pPr>
      <w:bookmarkStart w:id="173" w:name="_Toc20230578"/>
      <w:r>
        <w:rPr>
          <w:rFonts w:hint="eastAsia" w:ascii="宋体" w:hAnsi="宋体"/>
          <w:sz w:val="28"/>
          <w:szCs w:val="28"/>
          <w:lang w:val="en-US" w:eastAsia="zh-CN"/>
        </w:rPr>
        <w:t>一、价格部分</w:t>
      </w:r>
    </w:p>
    <w:p>
      <w:pPr>
        <w:pStyle w:val="4"/>
        <w:spacing w:before="0" w:after="0" w:line="360" w:lineRule="auto"/>
        <w:rPr>
          <w:rFonts w:ascii="宋体" w:hAnsi="宋体"/>
          <w:sz w:val="28"/>
          <w:szCs w:val="28"/>
        </w:rPr>
      </w:pPr>
      <w:r>
        <w:rPr>
          <w:rFonts w:hint="eastAsia" w:ascii="宋体" w:hAnsi="宋体"/>
          <w:sz w:val="28"/>
          <w:szCs w:val="28"/>
        </w:rPr>
        <w:t>1、</w:t>
      </w:r>
      <w:r>
        <w:rPr>
          <w:rFonts w:hint="eastAsia" w:ascii="宋体" w:hAnsi="宋体"/>
          <w:sz w:val="28"/>
          <w:szCs w:val="28"/>
          <w:lang w:eastAsia="zh-CN"/>
        </w:rPr>
        <w:t>磋商</w:t>
      </w:r>
      <w:r>
        <w:rPr>
          <w:rFonts w:hint="eastAsia" w:ascii="宋体" w:hAnsi="宋体"/>
          <w:sz w:val="28"/>
          <w:szCs w:val="28"/>
        </w:rPr>
        <w:t>申请函</w:t>
      </w:r>
      <w:bookmarkEnd w:id="173"/>
    </w:p>
    <w:p>
      <w:pPr>
        <w:spacing w:line="360" w:lineRule="auto"/>
        <w:jc w:val="center"/>
        <w:rPr>
          <w:rFonts w:ascii="宋体" w:hAnsi="宋体"/>
          <w:b/>
          <w:sz w:val="24"/>
        </w:rPr>
      </w:pPr>
      <w:r>
        <w:rPr>
          <w:rFonts w:hint="eastAsia" w:ascii="宋体" w:hAnsi="宋体"/>
          <w:b/>
          <w:sz w:val="24"/>
          <w:lang w:eastAsia="zh-CN"/>
        </w:rPr>
        <w:t>磋商</w:t>
      </w:r>
      <w:r>
        <w:rPr>
          <w:rFonts w:hint="eastAsia" w:ascii="宋体" w:hAnsi="宋体"/>
          <w:b/>
          <w:sz w:val="24"/>
        </w:rPr>
        <w:t>申请函</w:t>
      </w:r>
    </w:p>
    <w:p>
      <w:pPr>
        <w:autoSpaceDE w:val="0"/>
        <w:autoSpaceDN w:val="0"/>
        <w:adjustRightInd w:val="0"/>
        <w:spacing w:line="360" w:lineRule="auto"/>
        <w:ind w:firstLine="117" w:firstLineChars="49"/>
        <w:rPr>
          <w:rFonts w:ascii="宋体" w:hAnsi="宋体"/>
          <w:snapToGrid w:val="0"/>
          <w:kern w:val="0"/>
          <w:sz w:val="24"/>
        </w:rPr>
      </w:pPr>
      <w:r>
        <w:rPr>
          <w:rFonts w:hint="eastAsia" w:ascii="宋体" w:hAnsi="宋体"/>
          <w:sz w:val="24"/>
        </w:rPr>
        <w:t xml:space="preserve">   </w:t>
      </w:r>
      <w:r>
        <w:rPr>
          <w:rFonts w:hint="eastAsia" w:ascii="宋体" w:hAnsi="宋体" w:cs="宋体"/>
          <w:snapToGrid w:val="0"/>
          <w:kern w:val="0"/>
          <w:sz w:val="24"/>
          <w:lang w:val="zh-CN"/>
        </w:rPr>
        <w:t>（采购人名称）：</w:t>
      </w:r>
    </w:p>
    <w:p>
      <w:pPr>
        <w:autoSpaceDE w:val="0"/>
        <w:autoSpaceDN w:val="0"/>
        <w:adjustRightInd w:val="0"/>
        <w:spacing w:line="360" w:lineRule="auto"/>
        <w:ind w:firstLine="523" w:firstLineChars="218"/>
        <w:rPr>
          <w:rFonts w:ascii="宋体" w:hAnsi="宋体"/>
          <w:snapToGrid w:val="0"/>
          <w:kern w:val="0"/>
          <w:sz w:val="24"/>
        </w:rPr>
      </w:pPr>
      <w:r>
        <w:rPr>
          <w:rFonts w:hint="eastAsia" w:ascii="宋体" w:hAnsi="宋体" w:cs="宋体"/>
          <w:snapToGrid w:val="0"/>
          <w:kern w:val="0"/>
          <w:sz w:val="24"/>
          <w:lang w:val="zh-CN"/>
        </w:rPr>
        <w:t>我方参加贵部组织的</w:t>
      </w:r>
      <w:r>
        <w:rPr>
          <w:rFonts w:hint="eastAsia" w:ascii="宋体" w:hAnsi="宋体" w:cs="宋体"/>
          <w:snapToGrid w:val="0"/>
          <w:kern w:val="0"/>
          <w:sz w:val="24"/>
          <w:u w:val="single"/>
          <w:lang w:val="zh-CN"/>
        </w:rPr>
        <w:t xml:space="preserve">   </w:t>
      </w:r>
      <w:r>
        <w:rPr>
          <w:rFonts w:hint="eastAsia" w:ascii="宋体" w:hAnsi="宋体"/>
          <w:snapToGrid w:val="0"/>
          <w:kern w:val="0"/>
          <w:sz w:val="24"/>
          <w:u w:val="single"/>
        </w:rPr>
        <w:t>（项目编号、项目名称）</w:t>
      </w:r>
      <w:r>
        <w:rPr>
          <w:rFonts w:hint="eastAsia" w:ascii="宋体" w:hAnsi="宋体"/>
          <w:snapToGrid w:val="0"/>
          <w:kern w:val="0"/>
          <w:sz w:val="24"/>
          <w:lang w:eastAsia="zh-CN"/>
        </w:rPr>
        <w:t>竞争性磋商</w:t>
      </w:r>
      <w:r>
        <w:rPr>
          <w:rFonts w:hint="eastAsia" w:ascii="宋体" w:hAnsi="宋体"/>
          <w:snapToGrid w:val="0"/>
          <w:kern w:val="0"/>
          <w:sz w:val="24"/>
        </w:rPr>
        <w:t>采购活动，并对本项目进行报价：</w:t>
      </w:r>
    </w:p>
    <w:p>
      <w:pPr>
        <w:tabs>
          <w:tab w:val="left" w:leader="underscore" w:pos="3600"/>
          <w:tab w:val="left" w:leader="underscore" w:pos="5400"/>
        </w:tabs>
        <w:spacing w:line="360" w:lineRule="auto"/>
        <w:ind w:firstLine="1200" w:firstLineChars="500"/>
        <w:rPr>
          <w:rFonts w:ascii="宋体" w:cs="Arial"/>
          <w:color w:val="000000"/>
          <w:sz w:val="24"/>
        </w:rPr>
      </w:pPr>
      <w:r>
        <w:rPr>
          <w:rFonts w:hint="eastAsia" w:ascii="宋体" w:hAnsi="宋体" w:cs="Arial"/>
          <w:color w:val="000000"/>
          <w:sz w:val="24"/>
        </w:rPr>
        <w:t>人民币（大写）：</w:t>
      </w:r>
      <w:r>
        <w:rPr>
          <w:rFonts w:hint="eastAsia" w:ascii="宋体" w:hAnsi="宋体" w:cs="Arial"/>
          <w:color w:val="000000"/>
          <w:sz w:val="24"/>
          <w:u w:val="single"/>
        </w:rPr>
        <w:t xml:space="preserve">                                        </w:t>
      </w:r>
    </w:p>
    <w:p>
      <w:pPr>
        <w:autoSpaceDE w:val="0"/>
        <w:autoSpaceDN w:val="0"/>
        <w:adjustRightInd w:val="0"/>
        <w:spacing w:line="360" w:lineRule="auto"/>
        <w:ind w:firstLine="1243" w:firstLineChars="518"/>
        <w:rPr>
          <w:rFonts w:ascii="宋体" w:hAnsi="宋体"/>
          <w:snapToGrid w:val="0"/>
          <w:kern w:val="0"/>
          <w:sz w:val="24"/>
        </w:rPr>
      </w:pPr>
      <w:r>
        <w:rPr>
          <w:rFonts w:hint="eastAsia" w:ascii="宋体" w:hAnsi="宋体"/>
          <w:color w:val="000000"/>
          <w:sz w:val="24"/>
        </w:rPr>
        <w:t>RMB￥</w:t>
      </w:r>
      <w:r>
        <w:rPr>
          <w:rFonts w:hint="eastAsia" w:ascii="宋体" w:hAnsi="宋体" w:cs="Arial"/>
          <w:color w:val="000000"/>
          <w:sz w:val="24"/>
        </w:rPr>
        <w:t>：</w:t>
      </w:r>
      <w:r>
        <w:rPr>
          <w:rFonts w:hint="eastAsia" w:ascii="宋体" w:hAnsi="宋体" w:cs="Arial"/>
          <w:color w:val="000000"/>
          <w:sz w:val="24"/>
          <w:u w:val="single"/>
        </w:rPr>
        <w:t xml:space="preserve">                                              </w:t>
      </w:r>
      <w:r>
        <w:rPr>
          <w:rFonts w:hint="eastAsia" w:ascii="宋体" w:hAnsi="宋体" w:cs="Arial"/>
          <w:color w:val="000000"/>
          <w:sz w:val="24"/>
        </w:rPr>
        <w:t>元</w:t>
      </w:r>
    </w:p>
    <w:p>
      <w:pPr>
        <w:numPr>
          <w:ilvl w:val="3"/>
          <w:numId w:val="9"/>
        </w:numPr>
        <w:autoSpaceDE w:val="0"/>
        <w:autoSpaceDN w:val="0"/>
        <w:adjustRightInd w:val="0"/>
        <w:spacing w:line="360" w:lineRule="auto"/>
        <w:ind w:firstLine="618"/>
        <w:rPr>
          <w:rFonts w:ascii="宋体" w:hAnsi="宋体" w:cs="宋体"/>
          <w:snapToGrid w:val="0"/>
          <w:kern w:val="0"/>
          <w:sz w:val="24"/>
          <w:lang w:val="zh-CN"/>
        </w:rPr>
      </w:pPr>
      <w:bookmarkStart w:id="174" w:name="_Toc285613458"/>
      <w:r>
        <w:rPr>
          <w:rFonts w:hint="eastAsia" w:ascii="宋体" w:hAnsi="宋体" w:cs="宋体"/>
          <w:snapToGrid w:val="0"/>
          <w:kern w:val="0"/>
          <w:sz w:val="24"/>
          <w:lang w:val="zh-CN"/>
        </w:rPr>
        <w:t>按照磋商文件规定提交报价文件正本</w:t>
      </w:r>
      <w:r>
        <w:rPr>
          <w:rFonts w:hint="eastAsia" w:ascii="宋体" w:hAnsi="宋体" w:cs="宋体"/>
          <w:snapToGrid w:val="0"/>
          <w:kern w:val="0"/>
          <w:sz w:val="24"/>
          <w:u w:val="single"/>
          <w:lang w:val="zh-CN"/>
        </w:rPr>
        <w:t xml:space="preserve">        </w:t>
      </w:r>
      <w:r>
        <w:rPr>
          <w:rFonts w:hint="eastAsia" w:ascii="宋体" w:hAnsi="宋体" w:cs="宋体"/>
          <w:snapToGrid w:val="0"/>
          <w:kern w:val="0"/>
          <w:sz w:val="24"/>
          <w:lang w:val="zh-CN"/>
        </w:rPr>
        <w:t>份和副本</w:t>
      </w:r>
      <w:r>
        <w:rPr>
          <w:rFonts w:hint="eastAsia" w:ascii="宋体" w:hAnsi="宋体" w:cs="宋体"/>
          <w:snapToGrid w:val="0"/>
          <w:kern w:val="0"/>
          <w:sz w:val="24"/>
          <w:u w:val="single"/>
          <w:lang w:val="zh-CN"/>
        </w:rPr>
        <w:t xml:space="preserve">       </w:t>
      </w:r>
      <w:r>
        <w:rPr>
          <w:rFonts w:hint="eastAsia" w:ascii="宋体" w:hAnsi="宋体" w:cs="宋体"/>
          <w:snapToGrid w:val="0"/>
          <w:kern w:val="0"/>
          <w:sz w:val="24"/>
          <w:lang w:val="zh-CN"/>
        </w:rPr>
        <w:t>份。</w:t>
      </w:r>
      <w:bookmarkEnd w:id="174"/>
    </w:p>
    <w:p>
      <w:pPr>
        <w:numPr>
          <w:ilvl w:val="3"/>
          <w:numId w:val="9"/>
        </w:numPr>
        <w:autoSpaceDE w:val="0"/>
        <w:autoSpaceDN w:val="0"/>
        <w:adjustRightInd w:val="0"/>
        <w:spacing w:line="360" w:lineRule="auto"/>
        <w:ind w:firstLine="618"/>
        <w:rPr>
          <w:rFonts w:ascii="宋体" w:hAnsi="宋体" w:cs="宋体"/>
          <w:snapToGrid w:val="0"/>
          <w:kern w:val="0"/>
          <w:sz w:val="24"/>
          <w:lang w:val="zh-CN"/>
        </w:rPr>
      </w:pPr>
      <w:bookmarkStart w:id="175" w:name="_Toc285613460"/>
      <w:r>
        <w:rPr>
          <w:rFonts w:hint="eastAsia" w:ascii="宋体" w:hAnsi="宋体" w:cs="宋体"/>
          <w:snapToGrid w:val="0"/>
          <w:kern w:val="0"/>
          <w:sz w:val="24"/>
          <w:lang w:val="zh-CN"/>
        </w:rPr>
        <w:t>我方已完全理解磋商文件的全部内容，自愿接受并执行磋商文件的全部条款。</w:t>
      </w:r>
      <w:bookmarkEnd w:id="175"/>
    </w:p>
    <w:p>
      <w:pPr>
        <w:numPr>
          <w:ilvl w:val="3"/>
          <w:numId w:val="9"/>
        </w:numPr>
        <w:autoSpaceDE w:val="0"/>
        <w:autoSpaceDN w:val="0"/>
        <w:adjustRightInd w:val="0"/>
        <w:spacing w:line="360" w:lineRule="auto"/>
        <w:ind w:firstLine="618"/>
        <w:rPr>
          <w:rFonts w:ascii="宋体" w:hAnsi="宋体" w:cs="宋体"/>
          <w:snapToGrid w:val="0"/>
          <w:kern w:val="0"/>
          <w:sz w:val="24"/>
          <w:lang w:val="zh-CN"/>
        </w:rPr>
      </w:pPr>
      <w:bookmarkStart w:id="176" w:name="_Toc285613461"/>
      <w:r>
        <w:rPr>
          <w:rFonts w:hint="eastAsia" w:ascii="宋体" w:hAnsi="宋体" w:cs="宋体"/>
          <w:snapToGrid w:val="0"/>
          <w:kern w:val="0"/>
          <w:sz w:val="24"/>
          <w:lang w:val="zh-CN"/>
        </w:rPr>
        <w:t>本报价文件的有效期自报价截止之日起</w:t>
      </w:r>
      <w:r>
        <w:rPr>
          <w:rFonts w:hint="eastAsia" w:ascii="宋体" w:hAnsi="宋体"/>
          <w:snapToGrid w:val="0"/>
          <w:kern w:val="0"/>
          <w:sz w:val="24"/>
          <w:u w:val="single"/>
          <w:lang w:val="zh-CN"/>
        </w:rPr>
        <w:t xml:space="preserve">        </w:t>
      </w:r>
      <w:r>
        <w:rPr>
          <w:rFonts w:hint="eastAsia" w:ascii="宋体" w:hAnsi="宋体" w:cs="宋体"/>
          <w:snapToGrid w:val="0"/>
          <w:kern w:val="0"/>
          <w:sz w:val="24"/>
          <w:lang w:val="zh-CN"/>
        </w:rPr>
        <w:t>内有效。</w:t>
      </w:r>
      <w:bookmarkEnd w:id="176"/>
    </w:p>
    <w:p>
      <w:pPr>
        <w:numPr>
          <w:ilvl w:val="3"/>
          <w:numId w:val="9"/>
        </w:numPr>
        <w:autoSpaceDE w:val="0"/>
        <w:autoSpaceDN w:val="0"/>
        <w:adjustRightInd w:val="0"/>
        <w:spacing w:line="360" w:lineRule="auto"/>
        <w:ind w:firstLine="618"/>
        <w:rPr>
          <w:rFonts w:ascii="宋体" w:hAnsi="宋体" w:cs="宋体"/>
          <w:snapToGrid w:val="0"/>
          <w:kern w:val="0"/>
          <w:sz w:val="24"/>
          <w:lang w:val="zh-CN"/>
        </w:rPr>
      </w:pPr>
      <w:r>
        <w:rPr>
          <w:rFonts w:hint="eastAsia" w:ascii="宋体" w:hAnsi="宋体" w:cs="宋体"/>
          <w:snapToGrid w:val="0"/>
          <w:kern w:val="0"/>
          <w:sz w:val="24"/>
          <w:lang w:val="zh-CN"/>
        </w:rPr>
        <w:t>我方在参与磋商前已仔细研究了磋商文件和所有相关资料，同意磋商文件的相关条款。</w:t>
      </w:r>
    </w:p>
    <w:p>
      <w:pPr>
        <w:numPr>
          <w:ilvl w:val="3"/>
          <w:numId w:val="9"/>
        </w:numPr>
        <w:autoSpaceDE w:val="0"/>
        <w:autoSpaceDN w:val="0"/>
        <w:adjustRightInd w:val="0"/>
        <w:spacing w:line="360" w:lineRule="auto"/>
        <w:ind w:firstLine="618"/>
        <w:rPr>
          <w:rFonts w:ascii="宋体" w:hAnsi="宋体" w:cs="宋体"/>
          <w:snapToGrid w:val="0"/>
          <w:kern w:val="0"/>
          <w:sz w:val="24"/>
          <w:lang w:val="zh-CN"/>
        </w:rPr>
      </w:pPr>
      <w:r>
        <w:rPr>
          <w:rFonts w:hint="eastAsia" w:ascii="宋体" w:hAnsi="宋体" w:cs="宋体"/>
          <w:snapToGrid w:val="0"/>
          <w:kern w:val="0"/>
          <w:sz w:val="24"/>
          <w:lang w:val="zh-CN"/>
        </w:rPr>
        <w:t>我方声明报价文件及所提供的一切资料均真实无误及有效。由于我方提供资料不实而造成的责任和后果由我方承担。我方同意按照贵方提出的要求，提供与磋商有关的任何其它数据或信息。</w:t>
      </w:r>
    </w:p>
    <w:p>
      <w:pPr>
        <w:spacing w:line="360" w:lineRule="auto"/>
        <w:ind w:right="-76" w:firstLine="720" w:firstLineChars="300"/>
        <w:rPr>
          <w:rFonts w:ascii="宋体" w:hAnsi="宋体" w:cs="宋体"/>
          <w:color w:val="000000"/>
          <w:sz w:val="24"/>
        </w:rPr>
      </w:pPr>
      <w:r>
        <w:rPr>
          <w:rFonts w:hint="eastAsia" w:ascii="宋体" w:hAnsi="宋体"/>
          <w:sz w:val="24"/>
        </w:rPr>
        <w:t>我方承诺自愿遵守政府采购活动中的制度及政策规定。</w:t>
      </w:r>
    </w:p>
    <w:p>
      <w:pPr>
        <w:spacing w:line="360" w:lineRule="auto"/>
        <w:ind w:right="-20" w:firstLine="720" w:firstLineChars="300"/>
        <w:rPr>
          <w:rFonts w:ascii="宋体" w:hAnsi="宋体" w:cs="宋体"/>
          <w:color w:val="000000"/>
          <w:sz w:val="24"/>
        </w:rPr>
      </w:pPr>
      <w:r>
        <w:rPr>
          <w:rFonts w:hint="eastAsia" w:ascii="宋体" w:hAnsi="宋体" w:cs="宋体"/>
          <w:color w:val="000000"/>
          <w:position w:val="-3"/>
          <w:sz w:val="24"/>
        </w:rPr>
        <w:t>与本项目有关的一切正式往来信函请寄：</w:t>
      </w:r>
    </w:p>
    <w:p>
      <w:pPr>
        <w:tabs>
          <w:tab w:val="left" w:pos="3800"/>
          <w:tab w:val="left" w:pos="7640"/>
        </w:tabs>
        <w:spacing w:line="360" w:lineRule="auto"/>
        <w:ind w:left="578" w:right="-20"/>
        <w:rPr>
          <w:rFonts w:ascii="宋体" w:hAnsi="宋体" w:cs="宋体"/>
          <w:color w:val="000000"/>
          <w:sz w:val="24"/>
        </w:rPr>
      </w:pPr>
    </w:p>
    <w:p>
      <w:pPr>
        <w:tabs>
          <w:tab w:val="left" w:pos="3800"/>
          <w:tab w:val="left" w:pos="7640"/>
        </w:tabs>
        <w:spacing w:line="360" w:lineRule="auto"/>
        <w:ind w:left="578" w:right="-20"/>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color="000000"/>
        </w:rPr>
        <w:t xml:space="preserve"> </w:t>
      </w:r>
      <w:r>
        <w:rPr>
          <w:rFonts w:hint="eastAsia" w:ascii="宋体" w:hAnsi="宋体" w:cs="宋体"/>
          <w:color w:val="000000"/>
          <w:sz w:val="24"/>
          <w:u w:val="single" w:color="000000"/>
        </w:rPr>
        <w:tab/>
      </w:r>
      <w:r>
        <w:rPr>
          <w:rFonts w:hint="eastAsia" w:ascii="宋体" w:hAnsi="宋体" w:cs="宋体"/>
          <w:color w:val="000000"/>
          <w:sz w:val="24"/>
        </w:rPr>
        <w:t>传真</w:t>
      </w:r>
      <w:r>
        <w:rPr>
          <w:rFonts w:hint="eastAsia" w:ascii="宋体" w:hAnsi="宋体" w:cs="宋体"/>
          <w:color w:val="000000"/>
          <w:sz w:val="24"/>
          <w:u w:val="single" w:color="000000"/>
        </w:rPr>
        <w:t xml:space="preserve"> </w:t>
      </w:r>
      <w:r>
        <w:rPr>
          <w:rFonts w:hint="eastAsia" w:ascii="宋体" w:hAnsi="宋体" w:cs="宋体"/>
          <w:color w:val="000000"/>
          <w:sz w:val="24"/>
          <w:u w:val="single" w:color="000000"/>
        </w:rPr>
        <w:tab/>
      </w:r>
    </w:p>
    <w:p>
      <w:pPr>
        <w:tabs>
          <w:tab w:val="left" w:pos="3800"/>
          <w:tab w:val="left" w:pos="7640"/>
        </w:tabs>
        <w:spacing w:line="360" w:lineRule="auto"/>
        <w:ind w:left="578" w:right="-20"/>
        <w:rPr>
          <w:rFonts w:ascii="宋体" w:hAnsi="宋体" w:cs="宋体"/>
          <w:color w:val="000000"/>
          <w:sz w:val="24"/>
        </w:rPr>
      </w:pPr>
      <w:r>
        <w:rPr>
          <w:rFonts w:hint="eastAsia" w:ascii="宋体" w:hAnsi="宋体" w:cs="宋体"/>
          <w:color w:val="000000"/>
          <w:position w:val="-3"/>
          <w:sz w:val="24"/>
        </w:rPr>
        <w:t>电话</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r>
        <w:rPr>
          <w:rFonts w:hint="eastAsia" w:ascii="宋体" w:hAnsi="宋体" w:cs="宋体"/>
          <w:color w:val="000000"/>
          <w:position w:val="-3"/>
          <w:sz w:val="24"/>
        </w:rPr>
        <w:t>电子函件</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tabs>
          <w:tab w:val="left" w:pos="7635"/>
        </w:tabs>
        <w:spacing w:line="360" w:lineRule="auto"/>
        <w:ind w:left="578" w:right="-2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tabs>
          <w:tab w:val="left" w:pos="4520"/>
        </w:tabs>
        <w:spacing w:line="360" w:lineRule="auto"/>
        <w:ind w:left="578" w:right="-20"/>
        <w:rPr>
          <w:rFonts w:ascii="宋体" w:hAnsi="宋体" w:cs="宋体"/>
          <w:color w:val="000000"/>
          <w:sz w:val="24"/>
        </w:rPr>
      </w:pPr>
      <w:r>
        <w:rPr>
          <w:rFonts w:hint="eastAsia" w:ascii="宋体" w:hAnsi="宋体"/>
          <w:sz w:val="24"/>
        </w:rPr>
        <w:t>法定代表人或授权委托人（签字或盖章）</w:t>
      </w:r>
      <w:r>
        <w:rPr>
          <w:rFonts w:hint="eastAsia" w:ascii="宋体" w:hAnsi="宋体"/>
          <w:sz w:val="24"/>
          <w:u w:val="single"/>
        </w:rPr>
        <w:t xml:space="preserve">            </w:t>
      </w:r>
    </w:p>
    <w:p>
      <w:pPr>
        <w:spacing w:line="360" w:lineRule="auto"/>
        <w:ind w:right="-20" w:firstLine="480" w:firstLineChars="200"/>
        <w:rPr>
          <w:rFonts w:ascii="宋体" w:hAnsi="宋体" w:cs="宋体"/>
          <w:color w:val="000000"/>
          <w:position w:val="-3"/>
          <w:sz w:val="24"/>
          <w:u w:val="single" w:color="000000"/>
        </w:rPr>
      </w:pPr>
      <w:r>
        <w:rPr>
          <w:rFonts w:hint="eastAsia" w:ascii="宋体" w:hAnsi="宋体" w:cs="宋体"/>
          <w:color w:val="000000"/>
          <w:position w:val="-3"/>
          <w:sz w:val="24"/>
        </w:rPr>
        <w:t>供应商开户银行（全称</w:t>
      </w:r>
      <w:r>
        <w:rPr>
          <w:rFonts w:hint="eastAsia" w:ascii="宋体" w:hAnsi="宋体" w:cs="宋体"/>
          <w:color w:val="000000"/>
          <w:spacing w:val="1"/>
          <w:position w:val="-3"/>
          <w:sz w:val="24"/>
        </w:rPr>
        <w:t>）</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spacing w:line="360" w:lineRule="auto"/>
        <w:ind w:right="-20" w:firstLine="480" w:firstLineChars="200"/>
        <w:rPr>
          <w:rFonts w:ascii="宋体" w:hAnsi="宋体" w:cs="宋体"/>
          <w:color w:val="000000"/>
          <w:position w:val="-3"/>
          <w:sz w:val="24"/>
          <w:u w:val="single"/>
        </w:rPr>
      </w:pPr>
      <w:r>
        <w:rPr>
          <w:rFonts w:hint="eastAsia" w:ascii="宋体" w:hAnsi="宋体" w:cs="宋体"/>
          <w:color w:val="000000"/>
          <w:position w:val="-3"/>
          <w:sz w:val="24"/>
        </w:rPr>
        <w:t>供应商银行账号</w:t>
      </w:r>
      <w:r>
        <w:rPr>
          <w:rFonts w:hint="eastAsia" w:ascii="宋体" w:hAnsi="宋体" w:cs="宋体"/>
          <w:color w:val="000000"/>
          <w:position w:val="-3"/>
          <w:sz w:val="24"/>
          <w:u w:val="single"/>
        </w:rPr>
        <w:t xml:space="preserve">                           </w:t>
      </w:r>
    </w:p>
    <w:p>
      <w:pPr>
        <w:spacing w:line="360" w:lineRule="auto"/>
        <w:ind w:right="-20" w:firstLine="480" w:firstLineChars="200"/>
        <w:rPr>
          <w:rFonts w:ascii="宋体" w:hAnsi="宋体" w:cs="宋体"/>
          <w:color w:val="000000"/>
          <w:position w:val="-3"/>
          <w:sz w:val="24"/>
        </w:rPr>
      </w:pPr>
      <w:r>
        <w:rPr>
          <w:rFonts w:hint="eastAsia" w:ascii="宋体" w:hAnsi="宋体" w:cs="宋体"/>
          <w:color w:val="000000"/>
          <w:position w:val="-3"/>
          <w:sz w:val="24"/>
        </w:rPr>
        <w:t>供应商银行行号</w:t>
      </w:r>
      <w:r>
        <w:rPr>
          <w:rFonts w:hint="eastAsia" w:ascii="宋体" w:hAnsi="宋体" w:cs="宋体"/>
          <w:color w:val="000000"/>
          <w:position w:val="-3"/>
          <w:sz w:val="24"/>
          <w:u w:val="single"/>
        </w:rPr>
        <w:t xml:space="preserve">                           </w:t>
      </w:r>
      <w:r>
        <w:rPr>
          <w:rFonts w:hint="eastAsia" w:ascii="宋体" w:hAnsi="宋体" w:cs="宋体"/>
          <w:color w:val="000000"/>
          <w:position w:val="-3"/>
          <w:sz w:val="24"/>
        </w:rPr>
        <w:t xml:space="preserve">                </w:t>
      </w:r>
    </w:p>
    <w:p>
      <w:pPr>
        <w:tabs>
          <w:tab w:val="left" w:leader="underscore" w:pos="2880"/>
        </w:tabs>
        <w:spacing w:line="360" w:lineRule="auto"/>
        <w:ind w:firstLine="480" w:firstLineChars="200"/>
        <w:rPr>
          <w:rFonts w:ascii="宋体" w:hAnsi="宋体" w:cs="宋体"/>
          <w:color w:val="000000"/>
          <w:position w:val="-3"/>
          <w:sz w:val="24"/>
          <w:u w:val="single"/>
        </w:rPr>
      </w:pPr>
      <w:r>
        <w:rPr>
          <w:rFonts w:hint="eastAsia" w:ascii="宋体" w:hAnsi="宋体" w:cs="宋体"/>
          <w:color w:val="000000"/>
          <w:position w:val="-3"/>
          <w:sz w:val="24"/>
        </w:rPr>
        <w:t>供应商公章</w:t>
      </w:r>
      <w:r>
        <w:rPr>
          <w:rFonts w:hint="eastAsia" w:ascii="宋体" w:hAnsi="宋体" w:cs="宋体"/>
          <w:color w:val="000000"/>
          <w:position w:val="-3"/>
          <w:sz w:val="24"/>
          <w:u w:val="single"/>
        </w:rPr>
        <w:t xml:space="preserve">                               </w:t>
      </w:r>
    </w:p>
    <w:p>
      <w:pPr>
        <w:tabs>
          <w:tab w:val="left" w:leader="underscore" w:pos="2880"/>
        </w:tabs>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color w:val="000000"/>
          <w:position w:val="-3"/>
          <w:sz w:val="24"/>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rPr>
          <w:rFonts w:ascii="宋体" w:hAnsi="宋体"/>
          <w:b/>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b/>
          <w:sz w:val="28"/>
          <w:szCs w:val="28"/>
          <w:lang w:eastAsia="zh-CN"/>
        </w:rPr>
        <w:t>磋商</w:t>
      </w:r>
      <w:r>
        <w:rPr>
          <w:rFonts w:hint="eastAsia" w:ascii="宋体" w:hAnsi="宋体"/>
          <w:b/>
          <w:sz w:val="28"/>
          <w:szCs w:val="28"/>
        </w:rPr>
        <w:t>申请函附录</w:t>
      </w:r>
    </w:p>
    <w:p>
      <w:pPr>
        <w:tabs>
          <w:tab w:val="left" w:pos="1800"/>
          <w:tab w:val="left" w:pos="5580"/>
        </w:tabs>
        <w:spacing w:line="360" w:lineRule="auto"/>
        <w:ind w:firstLine="240" w:firstLineChars="100"/>
        <w:jc w:val="left"/>
        <w:rPr>
          <w:rFonts w:ascii="宋体" w:hAnsi="宋体"/>
          <w:sz w:val="24"/>
        </w:rPr>
      </w:pPr>
      <w:r>
        <w:rPr>
          <w:rFonts w:hint="eastAsia" w:ascii="宋体" w:hAnsi="宋体"/>
          <w:sz w:val="24"/>
        </w:rPr>
        <w:t xml:space="preserve">                            </w:t>
      </w:r>
      <w:r>
        <w:rPr>
          <w:rFonts w:hint="eastAsia" w:ascii="宋体" w:hAnsi="宋体"/>
          <w:b/>
          <w:sz w:val="24"/>
          <w:szCs w:val="21"/>
          <w:lang w:eastAsia="zh-CN"/>
        </w:rPr>
        <w:t>磋商</w:t>
      </w:r>
      <w:r>
        <w:rPr>
          <w:rFonts w:hint="eastAsia" w:ascii="宋体" w:hAnsi="宋体"/>
          <w:b/>
          <w:sz w:val="24"/>
          <w:szCs w:val="21"/>
        </w:rPr>
        <w:t>申请函附录</w:t>
      </w:r>
    </w:p>
    <w:p>
      <w:pPr>
        <w:tabs>
          <w:tab w:val="left" w:pos="1800"/>
          <w:tab w:val="left" w:pos="5580"/>
        </w:tabs>
        <w:spacing w:line="360" w:lineRule="auto"/>
        <w:jc w:val="left"/>
        <w:rPr>
          <w:rFonts w:ascii="宋体" w:hAnsi="宋体"/>
          <w:sz w:val="24"/>
        </w:rPr>
      </w:pPr>
      <w:r>
        <w:rPr>
          <w:rFonts w:hint="eastAsia" w:ascii="宋体" w:hAnsi="宋体"/>
          <w:sz w:val="24"/>
        </w:rPr>
        <w:t xml:space="preserve">  项目名称：　                          单位：人民币元</w:t>
      </w:r>
    </w:p>
    <w:tbl>
      <w:tblPr>
        <w:tblStyle w:val="41"/>
        <w:tblW w:w="809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495"/>
        <w:gridCol w:w="2503"/>
        <w:gridCol w:w="1446"/>
        <w:gridCol w:w="1315"/>
        <w:gridCol w:w="1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4" w:hRule="atLeast"/>
        </w:trPr>
        <w:tc>
          <w:tcPr>
            <w:tcW w:w="923" w:type="pct"/>
            <w:tcBorders>
              <w:top w:val="single" w:color="auto" w:sz="12" w:space="0"/>
              <w:left w:val="single" w:color="auto" w:sz="12" w:space="0"/>
              <w:bottom w:val="single" w:color="auto" w:sz="6" w:space="0"/>
              <w:right w:val="single" w:color="auto" w:sz="6" w:space="0"/>
            </w:tcBorders>
            <w:vAlign w:val="center"/>
          </w:tcPr>
          <w:p>
            <w:pPr>
              <w:tabs>
                <w:tab w:val="left" w:pos="5580"/>
              </w:tabs>
              <w:spacing w:line="360" w:lineRule="auto"/>
              <w:ind w:right="-199"/>
              <w:jc w:val="center"/>
              <w:rPr>
                <w:rFonts w:ascii="宋体" w:hAnsi="宋体"/>
                <w:sz w:val="24"/>
              </w:rPr>
            </w:pPr>
            <w:r>
              <w:rPr>
                <w:rFonts w:hint="eastAsia" w:ascii="宋体" w:hAnsi="宋体"/>
                <w:sz w:val="24"/>
              </w:rPr>
              <w:t>供应商名称</w:t>
            </w:r>
          </w:p>
        </w:tc>
        <w:tc>
          <w:tcPr>
            <w:tcW w:w="1545" w:type="pct"/>
            <w:tcBorders>
              <w:top w:val="single" w:color="auto" w:sz="12" w:space="0"/>
              <w:left w:val="single" w:color="auto" w:sz="6" w:space="0"/>
              <w:bottom w:val="single" w:color="auto" w:sz="6" w:space="0"/>
              <w:right w:val="single" w:color="auto" w:sz="6" w:space="0"/>
            </w:tcBorders>
            <w:vAlign w:val="center"/>
          </w:tcPr>
          <w:p>
            <w:pPr>
              <w:tabs>
                <w:tab w:val="left" w:pos="5580"/>
              </w:tabs>
              <w:spacing w:line="360" w:lineRule="auto"/>
              <w:ind w:left="163" w:hanging="163"/>
              <w:jc w:val="center"/>
              <w:rPr>
                <w:rFonts w:ascii="宋体" w:hAnsi="宋体"/>
                <w:sz w:val="24"/>
              </w:rPr>
            </w:pPr>
            <w:r>
              <w:rPr>
                <w:rFonts w:hint="eastAsia" w:ascii="宋体" w:hAnsi="宋体"/>
                <w:sz w:val="24"/>
              </w:rPr>
              <w:t>投标总价（人民币：元）</w:t>
            </w:r>
          </w:p>
        </w:tc>
        <w:tc>
          <w:tcPr>
            <w:tcW w:w="893" w:type="pct"/>
            <w:tcBorders>
              <w:top w:val="single" w:color="auto" w:sz="12" w:space="0"/>
              <w:left w:val="single" w:color="auto" w:sz="6" w:space="0"/>
              <w:bottom w:val="single" w:color="auto" w:sz="6" w:space="0"/>
              <w:right w:val="single" w:color="auto" w:sz="6" w:space="0"/>
            </w:tcBorders>
            <w:vAlign w:val="center"/>
          </w:tcPr>
          <w:p>
            <w:pPr>
              <w:tabs>
                <w:tab w:val="left" w:pos="5580"/>
              </w:tabs>
              <w:spacing w:line="360" w:lineRule="auto"/>
              <w:jc w:val="center"/>
              <w:rPr>
                <w:rFonts w:ascii="宋体" w:hAnsi="宋体"/>
                <w:sz w:val="24"/>
              </w:rPr>
            </w:pPr>
            <w:r>
              <w:rPr>
                <w:rFonts w:hint="eastAsia" w:ascii="宋体" w:hAnsi="宋体"/>
                <w:sz w:val="24"/>
              </w:rPr>
              <w:t>交货周期</w:t>
            </w:r>
          </w:p>
        </w:tc>
        <w:tc>
          <w:tcPr>
            <w:tcW w:w="812" w:type="pct"/>
            <w:tcBorders>
              <w:top w:val="single" w:color="auto" w:sz="12" w:space="0"/>
              <w:left w:val="single" w:color="auto" w:sz="6" w:space="0"/>
              <w:bottom w:val="single" w:color="auto" w:sz="6" w:space="0"/>
              <w:right w:val="single" w:color="auto" w:sz="4" w:space="0"/>
            </w:tcBorders>
            <w:vAlign w:val="center"/>
          </w:tcPr>
          <w:p>
            <w:pPr>
              <w:tabs>
                <w:tab w:val="left" w:pos="5580"/>
              </w:tabs>
              <w:spacing w:line="360" w:lineRule="auto"/>
              <w:jc w:val="center"/>
              <w:rPr>
                <w:rFonts w:ascii="宋体" w:hAnsi="宋体"/>
                <w:sz w:val="24"/>
              </w:rPr>
            </w:pPr>
            <w:r>
              <w:rPr>
                <w:rFonts w:hint="eastAsia" w:ascii="宋体" w:hAnsi="宋体"/>
                <w:sz w:val="24"/>
                <w:lang w:eastAsia="zh-CN"/>
              </w:rPr>
              <w:t>磋商</w:t>
            </w:r>
            <w:r>
              <w:rPr>
                <w:rFonts w:hint="eastAsia" w:ascii="宋体" w:hAnsi="宋体"/>
                <w:sz w:val="24"/>
              </w:rPr>
              <w:t>保证金</w:t>
            </w:r>
          </w:p>
        </w:tc>
        <w:tc>
          <w:tcPr>
            <w:tcW w:w="827" w:type="pct"/>
            <w:tcBorders>
              <w:top w:val="single" w:color="auto" w:sz="12" w:space="0"/>
              <w:left w:val="single" w:color="auto" w:sz="4" w:space="0"/>
              <w:bottom w:val="single" w:color="auto" w:sz="6" w:space="0"/>
              <w:right w:val="single" w:color="auto" w:sz="12" w:space="0"/>
            </w:tcBorders>
            <w:vAlign w:val="center"/>
          </w:tcPr>
          <w:p>
            <w:pPr>
              <w:tabs>
                <w:tab w:val="left" w:pos="5580"/>
              </w:tabs>
              <w:spacing w:line="360" w:lineRule="auto"/>
              <w:jc w:val="cente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446" w:hRule="atLeast"/>
        </w:trPr>
        <w:tc>
          <w:tcPr>
            <w:tcW w:w="923" w:type="pct"/>
            <w:tcBorders>
              <w:top w:val="single" w:color="auto" w:sz="6" w:space="0"/>
              <w:left w:val="single" w:color="auto" w:sz="12" w:space="0"/>
              <w:bottom w:val="single" w:color="auto" w:sz="12" w:space="0"/>
              <w:right w:val="single" w:color="auto" w:sz="6" w:space="0"/>
            </w:tcBorders>
            <w:vAlign w:val="center"/>
          </w:tcPr>
          <w:p>
            <w:pPr>
              <w:tabs>
                <w:tab w:val="left" w:pos="5580"/>
              </w:tabs>
              <w:spacing w:line="360" w:lineRule="auto"/>
              <w:jc w:val="center"/>
              <w:rPr>
                <w:rFonts w:ascii="宋体" w:hAnsi="宋体"/>
                <w:sz w:val="24"/>
              </w:rPr>
            </w:pPr>
          </w:p>
        </w:tc>
        <w:tc>
          <w:tcPr>
            <w:tcW w:w="1545" w:type="pct"/>
            <w:tcBorders>
              <w:top w:val="single" w:color="auto" w:sz="6" w:space="0"/>
              <w:left w:val="single" w:color="auto" w:sz="6" w:space="0"/>
              <w:bottom w:val="single" w:color="auto" w:sz="12" w:space="0"/>
              <w:right w:val="single" w:color="auto" w:sz="6" w:space="0"/>
            </w:tcBorders>
            <w:vAlign w:val="center"/>
          </w:tcPr>
          <w:p>
            <w:pPr>
              <w:pStyle w:val="23"/>
              <w:tabs>
                <w:tab w:val="left" w:pos="5580"/>
              </w:tabs>
              <w:adjustRightInd w:val="0"/>
              <w:spacing w:before="120" w:after="60" w:line="22" w:lineRule="atLeast"/>
              <w:textAlignment w:val="baseline"/>
              <w:rPr>
                <w:rFonts w:hAnsi="宋体"/>
                <w:color w:val="000000"/>
                <w:kern w:val="0"/>
                <w:sz w:val="24"/>
              </w:rPr>
            </w:pPr>
            <w:r>
              <w:rPr>
                <w:rFonts w:hint="eastAsia" w:hAnsi="宋体"/>
                <w:color w:val="000000"/>
                <w:kern w:val="0"/>
                <w:sz w:val="24"/>
              </w:rPr>
              <w:t>大写：</w:t>
            </w:r>
            <w:r>
              <w:rPr>
                <w:rFonts w:hint="eastAsia" w:hAnsi="宋体"/>
                <w:color w:val="000000"/>
                <w:kern w:val="0"/>
                <w:sz w:val="24"/>
                <w:u w:val="single"/>
              </w:rPr>
              <w:t xml:space="preserve">         </w:t>
            </w:r>
          </w:p>
          <w:p>
            <w:pPr>
              <w:tabs>
                <w:tab w:val="left" w:pos="5580"/>
              </w:tabs>
              <w:spacing w:line="360" w:lineRule="auto"/>
              <w:rPr>
                <w:rFonts w:ascii="宋体" w:hAnsi="宋体"/>
                <w:sz w:val="24"/>
              </w:rPr>
            </w:pPr>
            <w:r>
              <w:rPr>
                <w:rFonts w:hint="eastAsia" w:hAnsi="宋体"/>
                <w:color w:val="000000"/>
                <w:kern w:val="0"/>
                <w:sz w:val="24"/>
              </w:rPr>
              <w:t>小写</w:t>
            </w:r>
            <w:r>
              <w:rPr>
                <w:rFonts w:hAnsi="宋体" w:cs="华文中宋"/>
                <w:color w:val="000000"/>
              </w:rPr>
              <w:t>RMB</w:t>
            </w:r>
            <w:r>
              <w:rPr>
                <w:rFonts w:hint="eastAsia" w:hAnsi="宋体" w:cs="华文中宋"/>
                <w:color w:val="000000"/>
              </w:rPr>
              <w:t>¥</w:t>
            </w:r>
            <w:r>
              <w:rPr>
                <w:rFonts w:hint="eastAsia" w:hAnsi="宋体"/>
                <w:color w:val="000000"/>
                <w:kern w:val="0"/>
                <w:sz w:val="24"/>
              </w:rPr>
              <w:t>：</w:t>
            </w:r>
            <w:r>
              <w:rPr>
                <w:rFonts w:hAnsi="宋体"/>
                <w:color w:val="000000"/>
                <w:kern w:val="0"/>
                <w:sz w:val="24"/>
                <w:u w:val="single"/>
              </w:rPr>
              <w:t xml:space="preserve">     </w:t>
            </w:r>
          </w:p>
        </w:tc>
        <w:tc>
          <w:tcPr>
            <w:tcW w:w="893" w:type="pct"/>
            <w:tcBorders>
              <w:top w:val="single" w:color="auto" w:sz="6" w:space="0"/>
              <w:left w:val="single" w:color="auto" w:sz="6" w:space="0"/>
              <w:bottom w:val="single" w:color="auto" w:sz="12" w:space="0"/>
              <w:right w:val="single" w:color="auto" w:sz="6" w:space="0"/>
            </w:tcBorders>
            <w:vAlign w:val="center"/>
          </w:tcPr>
          <w:p>
            <w:pPr>
              <w:tabs>
                <w:tab w:val="left" w:pos="5580"/>
              </w:tabs>
              <w:spacing w:line="360" w:lineRule="auto"/>
              <w:jc w:val="center"/>
              <w:rPr>
                <w:rFonts w:ascii="宋体" w:hAnsi="宋体"/>
                <w:sz w:val="24"/>
              </w:rPr>
            </w:pPr>
          </w:p>
        </w:tc>
        <w:tc>
          <w:tcPr>
            <w:tcW w:w="812" w:type="pct"/>
            <w:tcBorders>
              <w:top w:val="single" w:color="auto" w:sz="6" w:space="0"/>
              <w:left w:val="single" w:color="auto" w:sz="6" w:space="0"/>
              <w:bottom w:val="single" w:color="auto" w:sz="12" w:space="0"/>
              <w:right w:val="single" w:color="auto" w:sz="4" w:space="0"/>
            </w:tcBorders>
            <w:vAlign w:val="center"/>
          </w:tcPr>
          <w:p>
            <w:pPr>
              <w:tabs>
                <w:tab w:val="left" w:pos="5580"/>
              </w:tabs>
              <w:spacing w:line="360" w:lineRule="auto"/>
              <w:jc w:val="center"/>
              <w:rPr>
                <w:rFonts w:ascii="宋体" w:hAnsi="宋体"/>
                <w:sz w:val="24"/>
              </w:rPr>
            </w:pPr>
            <w:r>
              <w:rPr>
                <w:rFonts w:hint="eastAsia" w:ascii="宋体" w:hAnsi="宋体"/>
                <w:sz w:val="24"/>
              </w:rPr>
              <w:t>（有/无）</w:t>
            </w:r>
          </w:p>
        </w:tc>
        <w:tc>
          <w:tcPr>
            <w:tcW w:w="827" w:type="pct"/>
            <w:tcBorders>
              <w:top w:val="single" w:color="auto" w:sz="6" w:space="0"/>
              <w:left w:val="single" w:color="auto" w:sz="4" w:space="0"/>
              <w:bottom w:val="single" w:color="auto" w:sz="12" w:space="0"/>
              <w:right w:val="single" w:color="auto" w:sz="12" w:space="0"/>
            </w:tcBorders>
            <w:vAlign w:val="center"/>
          </w:tcPr>
          <w:p>
            <w:pPr>
              <w:tabs>
                <w:tab w:val="left" w:pos="5580"/>
              </w:tabs>
              <w:spacing w:line="360" w:lineRule="auto"/>
              <w:jc w:val="center"/>
              <w:rPr>
                <w:rFonts w:ascii="宋体" w:hAnsi="宋体"/>
                <w:sz w:val="24"/>
              </w:rPr>
            </w:pPr>
          </w:p>
        </w:tc>
      </w:tr>
    </w:tbl>
    <w:p>
      <w:pPr>
        <w:spacing w:line="360" w:lineRule="auto"/>
        <w:rPr>
          <w:rFonts w:ascii="宋体" w:hAnsi="宋体"/>
          <w:b/>
          <w:bCs/>
          <w:sz w:val="30"/>
          <w:szCs w:val="30"/>
        </w:rPr>
      </w:pPr>
    </w:p>
    <w:p>
      <w:pPr>
        <w:spacing w:line="360" w:lineRule="auto"/>
        <w:rPr>
          <w:rFonts w:ascii="宋体" w:hAnsi="宋体"/>
          <w:sz w:val="24"/>
        </w:rPr>
      </w:pPr>
      <w:r>
        <w:rPr>
          <w:rFonts w:hint="eastAsia" w:ascii="宋体" w:hAnsi="宋体"/>
          <w:sz w:val="24"/>
        </w:rPr>
        <w:t>注： “投标总价”含义同1.2“分项（明细）报价表”中合计一致。</w:t>
      </w:r>
    </w:p>
    <w:p>
      <w:pPr>
        <w:spacing w:line="360" w:lineRule="auto"/>
        <w:rPr>
          <w:rFonts w:ascii="宋体" w:hAnsi="宋体"/>
          <w:sz w:val="24"/>
        </w:rPr>
      </w:pPr>
    </w:p>
    <w:p>
      <w:pPr>
        <w:tabs>
          <w:tab w:val="left" w:pos="7635"/>
        </w:tabs>
        <w:spacing w:line="360" w:lineRule="auto"/>
        <w:ind w:right="-2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spacing w:line="360" w:lineRule="auto"/>
        <w:rPr>
          <w:rFonts w:ascii="宋体" w:hAnsi="宋体"/>
          <w:b/>
          <w:bCs/>
          <w:sz w:val="24"/>
        </w:rPr>
      </w:pPr>
      <w:r>
        <w:rPr>
          <w:rFonts w:hint="eastAsia" w:ascii="宋体" w:hAnsi="宋体"/>
          <w:sz w:val="24"/>
        </w:rPr>
        <w:t>法定代表人或授权委托人（签字或盖章）：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3"/>
        <w:tabs>
          <w:tab w:val="left" w:pos="5580"/>
        </w:tabs>
        <w:spacing w:before="120" w:line="360" w:lineRule="auto"/>
        <w:ind w:firstLine="357"/>
        <w:rPr>
          <w:rFonts w:hAnsi="宋体"/>
          <w:sz w:val="24"/>
        </w:rPr>
      </w:pPr>
    </w:p>
    <w:p>
      <w:pPr>
        <w:pStyle w:val="23"/>
        <w:tabs>
          <w:tab w:val="left" w:pos="5580"/>
        </w:tabs>
        <w:spacing w:before="120" w:line="22" w:lineRule="atLeast"/>
        <w:rPr>
          <w:rFonts w:hAnsi="宋体"/>
          <w:b/>
          <w:sz w:val="28"/>
        </w:rPr>
      </w:pPr>
      <w:r>
        <w:rPr>
          <w:rFonts w:hint="eastAsia" w:hAnsi="宋体"/>
          <w:b/>
          <w:sz w:val="28"/>
        </w:rPr>
        <w:t>备注：本</w:t>
      </w:r>
      <w:r>
        <w:rPr>
          <w:rFonts w:hint="eastAsia" w:hAnsi="宋体"/>
          <w:b/>
          <w:sz w:val="28"/>
          <w:lang w:eastAsia="zh-CN"/>
        </w:rPr>
        <w:t>磋商</w:t>
      </w:r>
      <w:r>
        <w:rPr>
          <w:rFonts w:hint="eastAsia" w:hAnsi="宋体"/>
          <w:b/>
          <w:sz w:val="28"/>
        </w:rPr>
        <w:t>申请函附录除在响应文件中外，还应按供应商须知的规定另行制作一份，并密封标记且单独递交。</w:t>
      </w:r>
    </w:p>
    <w:p>
      <w:pPr>
        <w:widowControl/>
        <w:jc w:val="left"/>
        <w:rPr>
          <w:rFonts w:ascii="宋体" w:hAnsi="宋体"/>
          <w:b/>
          <w:sz w:val="28"/>
          <w:szCs w:val="20"/>
        </w:rPr>
        <w:sectPr>
          <w:footnotePr>
            <w:numRestart w:val="eachPage"/>
          </w:footnotePr>
          <w:pgSz w:w="11906" w:h="16838"/>
          <w:pgMar w:top="1418" w:right="1418" w:bottom="1418" w:left="1418" w:header="851" w:footer="992" w:gutter="0"/>
          <w:cols w:space="720" w:num="1"/>
        </w:sectPr>
      </w:pPr>
    </w:p>
    <w:p>
      <w:pPr>
        <w:rPr>
          <w:rFonts w:ascii="宋体" w:hAnsi="宋体"/>
          <w:b/>
          <w:bCs/>
          <w:sz w:val="28"/>
          <w:szCs w:val="28"/>
        </w:rPr>
      </w:pPr>
      <w:r>
        <w:rPr>
          <w:rFonts w:hint="eastAsia" w:ascii="宋体" w:hAnsi="宋体"/>
          <w:b/>
          <w:sz w:val="28"/>
          <w:szCs w:val="28"/>
          <w:lang w:val="en-US" w:eastAsia="zh-CN"/>
        </w:rPr>
        <w:t>3</w:t>
      </w:r>
      <w:r>
        <w:rPr>
          <w:rFonts w:hint="eastAsia" w:ascii="宋体" w:hAnsi="宋体"/>
          <w:b/>
          <w:sz w:val="28"/>
          <w:szCs w:val="28"/>
        </w:rPr>
        <w:t>、</w:t>
      </w:r>
      <w:r>
        <w:rPr>
          <w:rFonts w:hint="eastAsia" w:ascii="宋体" w:hAnsi="宋体"/>
          <w:b/>
          <w:bCs/>
          <w:sz w:val="28"/>
          <w:szCs w:val="28"/>
        </w:rPr>
        <w:t>分项（明细）报价表</w:t>
      </w:r>
    </w:p>
    <w:p>
      <w:pPr>
        <w:tabs>
          <w:tab w:val="left" w:pos="8640"/>
        </w:tabs>
        <w:autoSpaceDE w:val="0"/>
        <w:autoSpaceDN w:val="0"/>
        <w:snapToGrid w:val="0"/>
        <w:spacing w:line="360" w:lineRule="auto"/>
        <w:ind w:firstLine="3253" w:firstLineChars="1350"/>
        <w:jc w:val="left"/>
        <w:rPr>
          <w:rFonts w:ascii="宋体" w:hAnsi="宋体"/>
          <w:sz w:val="24"/>
        </w:rPr>
      </w:pPr>
      <w:r>
        <w:rPr>
          <w:rFonts w:hint="eastAsia" w:ascii="宋体" w:hAnsi="宋体"/>
          <w:b/>
          <w:sz w:val="24"/>
        </w:rPr>
        <w:t>分项（明细）报价表</w:t>
      </w:r>
      <w:r>
        <w:rPr>
          <w:rFonts w:hint="eastAsia" w:ascii="宋体" w:hAnsi="宋体"/>
          <w:b/>
          <w:sz w:val="24"/>
        </w:rPr>
        <w:br w:type="textWrapping"/>
      </w:r>
      <w:r>
        <w:rPr>
          <w:rFonts w:hint="eastAsia" w:ascii="宋体" w:hAnsi="宋体"/>
          <w:sz w:val="24"/>
        </w:rPr>
        <w:t>项目名称</w:t>
      </w:r>
      <w:r>
        <w:rPr>
          <w:rFonts w:hint="eastAsia" w:ascii="宋体" w:hAnsi="宋体"/>
          <w:sz w:val="24"/>
          <w:lang w:eastAsia="zh-CN"/>
        </w:rPr>
        <w:t>：</w:t>
      </w:r>
      <w:r>
        <w:rPr>
          <w:rFonts w:hint="eastAsia" w:ascii="宋体" w:hAnsi="宋体"/>
          <w:sz w:val="24"/>
        </w:rPr>
        <w:t xml:space="preserve">　    </w:t>
      </w:r>
    </w:p>
    <w:p>
      <w:pPr>
        <w:tabs>
          <w:tab w:val="left" w:pos="8640"/>
        </w:tabs>
        <w:autoSpaceDE w:val="0"/>
        <w:autoSpaceDN w:val="0"/>
        <w:snapToGrid w:val="0"/>
        <w:spacing w:line="360" w:lineRule="auto"/>
        <w:jc w:val="left"/>
        <w:rPr>
          <w:rFonts w:ascii="宋体" w:hAnsi="宋体" w:cs="宋体"/>
          <w:b/>
          <w:bCs/>
          <w:color w:val="000000"/>
          <w:kern w:val="0"/>
          <w:sz w:val="24"/>
        </w:rPr>
      </w:pPr>
      <w:r>
        <w:rPr>
          <w:rFonts w:hint="eastAsia" w:ascii="宋体" w:hAnsi="宋体" w:cs="宋体"/>
          <w:b/>
          <w:bCs/>
          <w:color w:val="000000"/>
          <w:kern w:val="0"/>
          <w:sz w:val="24"/>
          <w:lang w:val="en-US" w:eastAsia="zh-CN"/>
        </w:rPr>
        <w:t xml:space="preserve">3.1 </w:t>
      </w:r>
      <w:r>
        <w:rPr>
          <w:rFonts w:hint="eastAsia" w:ascii="宋体" w:hAnsi="宋体" w:cs="宋体"/>
          <w:b/>
          <w:bCs/>
          <w:color w:val="000000"/>
          <w:kern w:val="0"/>
          <w:sz w:val="24"/>
        </w:rPr>
        <w:t>水系统</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388"/>
        <w:gridCol w:w="4134"/>
        <w:gridCol w:w="667"/>
        <w:gridCol w:w="808"/>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747"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项目</w:t>
            </w: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内容</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797"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4" w:type="pct"/>
            <w:vMerge w:val="restar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w:t>
            </w:r>
          </w:p>
        </w:tc>
        <w:tc>
          <w:tcPr>
            <w:tcW w:w="747" w:type="pct"/>
            <w:vMerge w:val="restar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冷却系统</w:t>
            </w: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军团菌检测(CMA)</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份</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固体杀菌剂</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KG</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公斤/日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缓蚀阻垢剂</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KG</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公斤/日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杀菌灭藻剂</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KG</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公斤/日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取样检测系统巡检</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次</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水处理清洗预膜保养</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次</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2</w:t>
            </w:r>
          </w:p>
        </w:tc>
        <w:tc>
          <w:tcPr>
            <w:tcW w:w="747"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空调系统水泵检修</w:t>
            </w: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冷冻泵冷却泵补水泵设备及电机等检修维护</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台</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15</w:t>
            </w:r>
          </w:p>
        </w:tc>
        <w:tc>
          <w:tcPr>
            <w:tcW w:w="797"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4" w:type="pct"/>
            <w:vMerge w:val="restar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3</w:t>
            </w:r>
          </w:p>
        </w:tc>
        <w:tc>
          <w:tcPr>
            <w:tcW w:w="747" w:type="pct"/>
            <w:vMerge w:val="restar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冷却塔检修保养</w:t>
            </w: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冷却塔附件维护保养</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台</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3</w:t>
            </w: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更换皮带</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根</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12</w:t>
            </w: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检查电机</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项</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3</w:t>
            </w: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22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left"/>
              <w:rPr>
                <w:rFonts w:ascii="宋体" w:hAnsi="宋体" w:cs="宋体"/>
                <w:color w:val="000000"/>
                <w:kern w:val="0"/>
                <w:szCs w:val="21"/>
              </w:rPr>
            </w:pPr>
            <w:r>
              <w:rPr>
                <w:rFonts w:hint="eastAsia" w:ascii="宋体" w:hAnsi="宋体" w:cs="宋体"/>
                <w:color w:val="000000"/>
                <w:kern w:val="0"/>
                <w:szCs w:val="21"/>
              </w:rPr>
              <w:t>减速机、电机注润滑油</w:t>
            </w:r>
          </w:p>
        </w:tc>
        <w:tc>
          <w:tcPr>
            <w:tcW w:w="359"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项</w:t>
            </w:r>
          </w:p>
        </w:tc>
        <w:tc>
          <w:tcPr>
            <w:tcW w:w="435" w:type="pct"/>
            <w:tcBorders>
              <w:top w:val="single" w:color="auto" w:sz="4" w:space="0"/>
              <w:left w:val="single" w:color="auto" w:sz="4" w:space="0"/>
              <w:bottom w:val="single" w:color="auto" w:sz="4" w:space="0"/>
              <w:right w:val="single" w:color="auto" w:sz="4" w:space="0"/>
            </w:tcBorders>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3</w:t>
            </w:r>
          </w:p>
        </w:tc>
        <w:tc>
          <w:tcPr>
            <w:tcW w:w="797" w:type="pct"/>
            <w:tcBorders>
              <w:top w:val="single" w:color="auto" w:sz="4" w:space="0"/>
              <w:left w:val="single" w:color="auto" w:sz="4" w:space="0"/>
              <w:bottom w:val="single" w:color="auto" w:sz="4" w:space="0"/>
              <w:right w:val="single" w:color="auto" w:sz="4" w:space="0"/>
            </w:tcBorders>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1次/季度</w:t>
            </w:r>
          </w:p>
        </w:tc>
      </w:tr>
    </w:tbl>
    <w:p>
      <w:pPr>
        <w:tabs>
          <w:tab w:val="left" w:pos="8640"/>
        </w:tabs>
        <w:autoSpaceDE w:val="0"/>
        <w:autoSpaceDN w:val="0"/>
        <w:snapToGrid w:val="0"/>
        <w:spacing w:line="360" w:lineRule="auto"/>
        <w:jc w:val="left"/>
        <w:rPr>
          <w:rFonts w:ascii="宋体" w:hAnsi="宋体" w:cs="宋体"/>
          <w:b/>
          <w:bCs/>
          <w:color w:val="000000"/>
          <w:kern w:val="0"/>
          <w:sz w:val="24"/>
        </w:rPr>
      </w:pPr>
      <w:bookmarkStart w:id="177" w:name="_Toc73023421"/>
      <w:r>
        <w:rPr>
          <w:rFonts w:hint="eastAsia" w:ascii="宋体" w:hAnsi="宋体" w:cs="宋体"/>
          <w:b/>
          <w:bCs/>
          <w:color w:val="000000"/>
          <w:kern w:val="0"/>
          <w:sz w:val="24"/>
          <w:lang w:val="en-US" w:eastAsia="zh-CN"/>
        </w:rPr>
        <w:t>3.2</w:t>
      </w:r>
      <w:bookmarkEnd w:id="177"/>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制冷主机</w:t>
      </w:r>
    </w:p>
    <w:tbl>
      <w:tblPr>
        <w:tblStyle w:val="41"/>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
        <w:gridCol w:w="791"/>
        <w:gridCol w:w="1160"/>
        <w:gridCol w:w="2182"/>
        <w:gridCol w:w="684"/>
        <w:gridCol w:w="1012"/>
        <w:gridCol w:w="1237"/>
        <w:gridCol w:w="191"/>
        <w:gridCol w:w="1413"/>
        <w:gridCol w:w="28"/>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gridSpan w:val="2"/>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名称与规格型号</w:t>
            </w:r>
          </w:p>
        </w:tc>
        <w:tc>
          <w:tcPr>
            <w:tcW w:w="540" w:type="pct"/>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762" w:type="pct"/>
            <w:gridSpan w:val="2"/>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062" w:type="pct"/>
            <w:gridSpan w:val="3"/>
            <w:shd w:val="clear" w:color="auto" w:fill="auto"/>
            <w:vAlign w:val="center"/>
          </w:tcPr>
          <w:p>
            <w:pPr>
              <w:tabs>
                <w:tab w:val="left" w:pos="8640"/>
              </w:tabs>
              <w:autoSpaceDE w:val="0"/>
              <w:autoSpaceDN w:val="0"/>
              <w:snapToGrid w:val="0"/>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1</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机组巡检保养</w:t>
            </w:r>
          </w:p>
        </w:tc>
        <w:tc>
          <w:tcPr>
            <w:tcW w:w="540" w:type="pct"/>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3</w:t>
            </w:r>
          </w:p>
        </w:tc>
        <w:tc>
          <w:tcPr>
            <w:tcW w:w="762"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台</w:t>
            </w:r>
          </w:p>
        </w:tc>
        <w:tc>
          <w:tcPr>
            <w:tcW w:w="1062"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2</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离心机组润滑油</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（特灵原厂9.3升/桶）</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OIL00022</w:t>
            </w:r>
          </w:p>
        </w:tc>
        <w:tc>
          <w:tcPr>
            <w:tcW w:w="540" w:type="pct"/>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12</w:t>
            </w:r>
          </w:p>
        </w:tc>
        <w:tc>
          <w:tcPr>
            <w:tcW w:w="762"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桶</w:t>
            </w:r>
          </w:p>
        </w:tc>
        <w:tc>
          <w:tcPr>
            <w:tcW w:w="1062"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更换频次：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3</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机组干燥过滤器（特灵原厂）DHY01474</w:t>
            </w:r>
          </w:p>
        </w:tc>
        <w:tc>
          <w:tcPr>
            <w:tcW w:w="540" w:type="pct"/>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2</w:t>
            </w:r>
          </w:p>
        </w:tc>
        <w:tc>
          <w:tcPr>
            <w:tcW w:w="762"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个</w:t>
            </w:r>
          </w:p>
        </w:tc>
        <w:tc>
          <w:tcPr>
            <w:tcW w:w="1062"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离心机组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4</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离心机组油过滤器（特灵原厂）FLR01592</w:t>
            </w:r>
          </w:p>
        </w:tc>
        <w:tc>
          <w:tcPr>
            <w:tcW w:w="540" w:type="pct"/>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4</w:t>
            </w:r>
          </w:p>
        </w:tc>
        <w:tc>
          <w:tcPr>
            <w:tcW w:w="762"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个</w:t>
            </w:r>
          </w:p>
        </w:tc>
        <w:tc>
          <w:tcPr>
            <w:tcW w:w="1062"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更换频次：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5</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螺杆机组润滑油</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（特灵原厂3.75升/桶）</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OIL00048</w:t>
            </w:r>
          </w:p>
        </w:tc>
        <w:tc>
          <w:tcPr>
            <w:tcW w:w="540" w:type="pct"/>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12</w:t>
            </w:r>
          </w:p>
        </w:tc>
        <w:tc>
          <w:tcPr>
            <w:tcW w:w="762"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桶</w:t>
            </w:r>
          </w:p>
        </w:tc>
        <w:tc>
          <w:tcPr>
            <w:tcW w:w="1062"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更换频次：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6</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螺杆机机组油过滤器</w:t>
            </w:r>
          </w:p>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（特灵原厂）ELM01405</w:t>
            </w:r>
          </w:p>
        </w:tc>
        <w:tc>
          <w:tcPr>
            <w:tcW w:w="540" w:type="pct"/>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ascii="宋体" w:hAnsi="宋体" w:cs="宋体"/>
                <w:color w:val="000000"/>
                <w:kern w:val="0"/>
                <w:szCs w:val="21"/>
              </w:rPr>
              <w:t>2</w:t>
            </w:r>
          </w:p>
        </w:tc>
        <w:tc>
          <w:tcPr>
            <w:tcW w:w="762"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个</w:t>
            </w:r>
          </w:p>
        </w:tc>
        <w:tc>
          <w:tcPr>
            <w:tcW w:w="1062"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更换频次：</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w:t>
            </w:r>
            <w:r>
              <w:rPr>
                <w:rFonts w:hint="eastAsia" w:ascii="宋体" w:hAnsi="宋体" w:cs="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清洗蒸发器及冷凝器</w:t>
            </w:r>
          </w:p>
        </w:tc>
        <w:tc>
          <w:tcPr>
            <w:tcW w:w="540" w:type="pc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762" w:type="pct"/>
            <w:gridSpan w:val="2"/>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组</w:t>
            </w:r>
          </w:p>
        </w:tc>
        <w:tc>
          <w:tcPr>
            <w:tcW w:w="1062" w:type="pct"/>
            <w:gridSpan w:val="3"/>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拆盖清洗  1次/1年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配电室大金空调、服务器机房海信精密空调、</w:t>
            </w:r>
            <w:r>
              <w:rPr>
                <w:rFonts w:hint="eastAsia" w:ascii="宋体" w:hAnsi="宋体" w:cs="宋体"/>
                <w:color w:val="000000"/>
                <w:kern w:val="0"/>
                <w:szCs w:val="21"/>
                <w:lang w:val="en-US" w:eastAsia="zh-CN"/>
              </w:rPr>
              <w:t>风冷机组、</w:t>
            </w:r>
            <w:r>
              <w:rPr>
                <w:rFonts w:hint="eastAsia" w:ascii="宋体" w:hAnsi="宋体" w:cs="宋体"/>
                <w:color w:val="000000"/>
                <w:kern w:val="0"/>
                <w:szCs w:val="21"/>
              </w:rPr>
              <w:t>弱电井美的多联机等机组检修</w:t>
            </w:r>
          </w:p>
        </w:tc>
        <w:tc>
          <w:tcPr>
            <w:tcW w:w="540" w:type="pct"/>
            <w:shd w:val="clear" w:color="auto" w:fill="auto"/>
            <w:vAlign w:val="center"/>
          </w:tcPr>
          <w:p>
            <w:pPr>
              <w:tabs>
                <w:tab w:val="left" w:pos="8640"/>
              </w:tabs>
              <w:autoSpaceDE w:val="0"/>
              <w:autoSpaceDN w:val="0"/>
              <w:snapToGrid w:val="0"/>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7</w:t>
            </w:r>
          </w:p>
        </w:tc>
        <w:tc>
          <w:tcPr>
            <w:tcW w:w="762" w:type="pct"/>
            <w:gridSpan w:val="2"/>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1062" w:type="pct"/>
            <w:gridSpan w:val="3"/>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机组过滤器清洗及机组维护检修保养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9</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机组控制系统软件进行升级版本服务</w:t>
            </w:r>
          </w:p>
        </w:tc>
        <w:tc>
          <w:tcPr>
            <w:tcW w:w="540" w:type="pct"/>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762" w:type="pct"/>
            <w:gridSpan w:val="2"/>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1062" w:type="pct"/>
            <w:gridSpan w:val="3"/>
            <w:shd w:val="clear" w:color="auto" w:fill="auto"/>
            <w:vAlign w:val="center"/>
          </w:tcPr>
          <w:p>
            <w:pPr>
              <w:tabs>
                <w:tab w:val="left" w:pos="8640"/>
              </w:tabs>
              <w:autoSpaceDE w:val="0"/>
              <w:autoSpaceDN w:val="0"/>
              <w:snapToGrid w:val="0"/>
              <w:spacing w:line="360" w:lineRule="auto"/>
              <w:jc w:val="center"/>
              <w:rPr>
                <w:rFonts w:ascii="宋体" w:hAnsi="宋体" w:cs="宋体"/>
                <w:color w:val="000000"/>
                <w:kern w:val="0"/>
                <w:szCs w:val="21"/>
              </w:rPr>
            </w:pPr>
            <w:r>
              <w:rPr>
                <w:rFonts w:hint="eastAsia" w:ascii="宋体" w:hAnsi="宋体" w:cs="宋体"/>
                <w:color w:val="000000"/>
                <w:kern w:val="0"/>
                <w:szCs w:val="21"/>
              </w:rPr>
              <w:t>对机组控制系统软件进行升级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2148"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运行第1个月驻厂人员</w:t>
            </w:r>
          </w:p>
        </w:tc>
        <w:tc>
          <w:tcPr>
            <w:tcW w:w="540" w:type="pct"/>
            <w:shd w:val="clear" w:color="auto" w:fill="auto"/>
            <w:vAlign w:val="center"/>
          </w:tcPr>
          <w:p>
            <w:pPr>
              <w:tabs>
                <w:tab w:val="left" w:pos="8640"/>
              </w:tabs>
              <w:autoSpaceDE w:val="0"/>
              <w:autoSpaceDN w:val="0"/>
              <w:snapToGrid w:val="0"/>
              <w:jc w:val="center"/>
              <w:rPr>
                <w:rFonts w:hint="default" w:ascii="宋体" w:hAnsi="宋体" w:eastAsia="宋体" w:cs="宋体"/>
                <w:color w:val="000000"/>
                <w:kern w:val="0"/>
                <w:szCs w:val="21"/>
                <w:lang w:val="en-US" w:eastAsia="zh-CN"/>
              </w:rPr>
            </w:pPr>
            <w:r>
              <w:rPr>
                <w:rFonts w:ascii="宋体" w:hAnsi="宋体" w:cs="宋体"/>
                <w:color w:val="000000"/>
                <w:kern w:val="0"/>
                <w:szCs w:val="21"/>
              </w:rPr>
              <w:t>1</w:t>
            </w:r>
            <w:r>
              <w:rPr>
                <w:rFonts w:hint="eastAsia" w:ascii="宋体" w:hAnsi="宋体" w:cs="宋体"/>
                <w:color w:val="000000"/>
                <w:kern w:val="0"/>
                <w:szCs w:val="21"/>
                <w:lang w:val="en-US" w:eastAsia="zh-CN"/>
              </w:rPr>
              <w:t>~3</w:t>
            </w:r>
          </w:p>
        </w:tc>
        <w:tc>
          <w:tcPr>
            <w:tcW w:w="762" w:type="pct"/>
            <w:gridSpan w:val="2"/>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人</w:t>
            </w:r>
          </w:p>
        </w:tc>
        <w:tc>
          <w:tcPr>
            <w:tcW w:w="1062" w:type="pct"/>
            <w:gridSpan w:val="3"/>
            <w:shd w:val="clear" w:color="auto" w:fill="auto"/>
            <w:vAlign w:val="center"/>
          </w:tcPr>
          <w:p>
            <w:pPr>
              <w:tabs>
                <w:tab w:val="left" w:pos="8640"/>
              </w:tabs>
              <w:autoSpaceDE w:val="0"/>
              <w:autoSpaceDN w:val="0"/>
              <w:snapToGrid w:val="0"/>
              <w:jc w:val="center"/>
              <w:rPr>
                <w:rFonts w:ascii="宋体" w:hAnsi="宋体" w:cs="宋体"/>
                <w:color w:val="000000"/>
                <w:kern w:val="0"/>
                <w:szCs w:val="21"/>
              </w:rPr>
            </w:pPr>
            <w:r>
              <w:rPr>
                <w:rFonts w:hint="eastAsia" w:ascii="宋体" w:hAnsi="宋体" w:cs="宋体"/>
                <w:color w:val="000000"/>
                <w:kern w:val="0"/>
                <w:szCs w:val="21"/>
              </w:rPr>
              <w:t>有处理解决各种制冷机组突发情况的能力，有培训讲解制冷机组运维保障的能力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87" w:type="pct"/>
            <w:gridSpan w:val="2"/>
            <w:shd w:val="clear" w:color="auto" w:fill="auto"/>
            <w:vAlign w:val="center"/>
          </w:tcPr>
          <w:p>
            <w:pPr>
              <w:tabs>
                <w:tab w:val="left" w:pos="8640"/>
              </w:tabs>
              <w:autoSpaceDE w:val="0"/>
              <w:autoSpaceDN w:val="0"/>
              <w:snapToGrid w:val="0"/>
              <w:jc w:val="center"/>
              <w:rPr>
                <w:rFonts w:hint="eastAsia" w:ascii="宋体" w:hAnsi="宋体" w:cs="宋体"/>
                <w:color w:val="000000"/>
                <w:kern w:val="0"/>
                <w:szCs w:val="21"/>
              </w:rPr>
            </w:pPr>
          </w:p>
        </w:tc>
        <w:tc>
          <w:tcPr>
            <w:tcW w:w="2148" w:type="pct"/>
            <w:gridSpan w:val="3"/>
            <w:shd w:val="clear" w:color="auto" w:fill="auto"/>
            <w:vAlign w:val="center"/>
          </w:tcPr>
          <w:p>
            <w:pPr>
              <w:tabs>
                <w:tab w:val="left" w:pos="8640"/>
              </w:tabs>
              <w:autoSpaceDE w:val="0"/>
              <w:autoSpaceDN w:val="0"/>
              <w:snapToGrid w:val="0"/>
              <w:jc w:val="center"/>
              <w:rPr>
                <w:rFonts w:hint="eastAsia" w:ascii="宋体" w:hAnsi="宋体" w:cs="宋体"/>
                <w:color w:val="000000"/>
                <w:kern w:val="0"/>
                <w:szCs w:val="21"/>
              </w:rPr>
            </w:pPr>
          </w:p>
        </w:tc>
        <w:tc>
          <w:tcPr>
            <w:tcW w:w="540" w:type="pct"/>
            <w:shd w:val="clear" w:color="auto" w:fill="auto"/>
            <w:vAlign w:val="center"/>
          </w:tcPr>
          <w:p>
            <w:pPr>
              <w:tabs>
                <w:tab w:val="left" w:pos="8640"/>
              </w:tabs>
              <w:autoSpaceDE w:val="0"/>
              <w:autoSpaceDN w:val="0"/>
              <w:snapToGrid w:val="0"/>
              <w:jc w:val="center"/>
              <w:rPr>
                <w:rFonts w:ascii="宋体" w:hAnsi="宋体" w:cs="宋体"/>
                <w:color w:val="000000"/>
                <w:kern w:val="0"/>
                <w:szCs w:val="21"/>
              </w:rPr>
            </w:pPr>
          </w:p>
        </w:tc>
        <w:tc>
          <w:tcPr>
            <w:tcW w:w="762" w:type="pct"/>
            <w:gridSpan w:val="2"/>
            <w:shd w:val="clear" w:color="auto" w:fill="auto"/>
            <w:vAlign w:val="center"/>
          </w:tcPr>
          <w:p>
            <w:pPr>
              <w:tabs>
                <w:tab w:val="left" w:pos="8640"/>
              </w:tabs>
              <w:autoSpaceDE w:val="0"/>
              <w:autoSpaceDN w:val="0"/>
              <w:snapToGrid w:val="0"/>
              <w:jc w:val="center"/>
              <w:rPr>
                <w:rFonts w:hint="eastAsia" w:ascii="宋体" w:hAnsi="宋体" w:cs="宋体"/>
                <w:color w:val="000000"/>
                <w:kern w:val="0"/>
                <w:szCs w:val="21"/>
              </w:rPr>
            </w:pPr>
          </w:p>
        </w:tc>
        <w:tc>
          <w:tcPr>
            <w:tcW w:w="1062" w:type="pct"/>
            <w:gridSpan w:val="3"/>
            <w:shd w:val="clear" w:color="auto" w:fill="auto"/>
            <w:vAlign w:val="center"/>
          </w:tcPr>
          <w:p>
            <w:pPr>
              <w:tabs>
                <w:tab w:val="left" w:pos="8640"/>
              </w:tabs>
              <w:autoSpaceDE w:val="0"/>
              <w:autoSpaceDN w:val="0"/>
              <w:snapToGrid w:val="0"/>
              <w:jc w:val="center"/>
              <w:rPr>
                <w:rFonts w:hint="eastAsia" w:ascii="宋体" w:hAnsi="宋体" w:cs="宋体"/>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552" w:hRule="atLeast"/>
          <w:jc w:val="center"/>
        </w:trPr>
        <w:tc>
          <w:tcPr>
            <w:tcW w:w="1041"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设备名称</w:t>
            </w:r>
          </w:p>
        </w:tc>
        <w:tc>
          <w:tcPr>
            <w:tcW w:w="11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设备型号</w:t>
            </w:r>
          </w:p>
        </w:tc>
        <w:tc>
          <w:tcPr>
            <w:tcW w:w="1565" w:type="pct"/>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设备参数</w:t>
            </w:r>
          </w:p>
        </w:tc>
        <w:tc>
          <w:tcPr>
            <w:tcW w:w="870" w:type="pct"/>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生产厂家</w:t>
            </w:r>
          </w:p>
        </w:tc>
        <w:tc>
          <w:tcPr>
            <w:tcW w:w="29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348" w:hRule="atLeast"/>
          <w:jc w:val="center"/>
        </w:trPr>
        <w:tc>
          <w:tcPr>
            <w:tcW w:w="4934" w:type="pct"/>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制冷主机设备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10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spacing w:after="240"/>
              <w:jc w:val="left"/>
              <w:rPr>
                <w:rFonts w:ascii="宋体" w:hAnsi="宋体" w:cs="宋体"/>
                <w:color w:val="000000"/>
                <w:kern w:val="0"/>
                <w:sz w:val="16"/>
                <w:szCs w:val="16"/>
              </w:rPr>
            </w:pP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水冷离心式冷水机组</w:t>
            </w:r>
          </w:p>
        </w:tc>
        <w:tc>
          <w:tcPr>
            <w:tcW w:w="11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CVHG1100</w:t>
            </w:r>
          </w:p>
        </w:tc>
        <w:tc>
          <w:tcPr>
            <w:tcW w:w="1565" w:type="pct"/>
            <w:gridSpan w:val="3"/>
            <w:tcBorders>
              <w:top w:val="nil"/>
              <w:left w:val="nil"/>
              <w:bottom w:val="single" w:color="auto" w:sz="4" w:space="0"/>
              <w:right w:val="single" w:color="auto" w:sz="4" w:space="0"/>
            </w:tcBorders>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机组制冷量：4218KW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额定电压：380.50HZ.3PH</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 xml:space="preserve">额定功率：781kw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额定电流：1349AMPS</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制冷剂：R123</w:t>
            </w:r>
          </w:p>
        </w:tc>
        <w:tc>
          <w:tcPr>
            <w:tcW w:w="855" w:type="pct"/>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江苏太仓特灵空调系统（中国）有限公司</w:t>
            </w:r>
          </w:p>
        </w:tc>
        <w:tc>
          <w:tcPr>
            <w:tcW w:w="308"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1152"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水冷螺杆式冷水机组</w:t>
            </w:r>
          </w:p>
        </w:tc>
        <w:tc>
          <w:tcPr>
            <w:tcW w:w="11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RTHDE3G2G1</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名义制冷量：1482.6KW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额定电压：380V</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重量：8914kg</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名义制冷量：1482.6kw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客户工况制冷量：1231.kw</w:t>
            </w:r>
          </w:p>
        </w:tc>
        <w:tc>
          <w:tcPr>
            <w:tcW w:w="855" w:type="pct"/>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江苏太仓特灵空调系统（中国）有限公司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960"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多联式空调机组</w:t>
            </w:r>
          </w:p>
        </w:tc>
        <w:tc>
          <w:tcPr>
            <w:tcW w:w="11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MDV-252W/D2SN1-8U1</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电源：3N-380V 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电流：24A</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功率：13990W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压力：4.4mpa</w:t>
            </w:r>
          </w:p>
        </w:tc>
        <w:tc>
          <w:tcPr>
            <w:tcW w:w="855" w:type="pct"/>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广东美的暖通设备有限公司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多联式空调机组</w:t>
            </w:r>
          </w:p>
        </w:tc>
        <w:tc>
          <w:tcPr>
            <w:tcW w:w="11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MDV-335W/D2SN1-801</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额定电源：3N~380V 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最大运转电流：26.4A</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最大输入功率：15300W</w:t>
            </w:r>
          </w:p>
        </w:tc>
        <w:tc>
          <w:tcPr>
            <w:tcW w:w="855" w:type="pct"/>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广东美的暖通设备有限公司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960"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空调机室外机</w:t>
            </w:r>
          </w:p>
        </w:tc>
        <w:tc>
          <w:tcPr>
            <w:tcW w:w="11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RXQ020AA</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电源：3N-/380V/50HZ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功率：20.5KW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电流：25.8A</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压力：4.0mpa</w:t>
            </w:r>
          </w:p>
        </w:tc>
        <w:tc>
          <w:tcPr>
            <w:tcW w:w="855" w:type="pct"/>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大金空调（上海）有限公司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精密机房专用空调机组外机</w:t>
            </w:r>
          </w:p>
        </w:tc>
        <w:tc>
          <w:tcPr>
            <w:tcW w:w="11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565" w:type="pct"/>
            <w:gridSpan w:val="3"/>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制冷量70.1KW</w:t>
            </w:r>
          </w:p>
        </w:tc>
        <w:tc>
          <w:tcPr>
            <w:tcW w:w="855" w:type="pct"/>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海信（山东）空调有限公司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精密机房专用空调机组外机</w:t>
            </w:r>
          </w:p>
        </w:tc>
        <w:tc>
          <w:tcPr>
            <w:tcW w:w="11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HE-FW14A1(SAA2)</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额定电压/频率：380V/50hz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最大输入功率：1.9kw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最大输入电流：3.9A</w:t>
            </w:r>
          </w:p>
        </w:tc>
        <w:tc>
          <w:tcPr>
            <w:tcW w:w="855" w:type="pct"/>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海信（山东）空调有限公司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ascii="宋体" w:hAnsi="宋体" w:cs="宋体"/>
                <w:color w:val="000000"/>
                <w:kern w:val="0"/>
                <w:sz w:val="16"/>
                <w:szCs w:val="16"/>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多联式空调室内机</w:t>
            </w:r>
          </w:p>
        </w:tc>
        <w:tc>
          <w:tcPr>
            <w:tcW w:w="1164" w:type="pct"/>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1565" w:type="pct"/>
            <w:gridSpan w:val="3"/>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制冷量4.5kw，制热量5kw</w:t>
            </w:r>
          </w:p>
        </w:tc>
        <w:tc>
          <w:tcPr>
            <w:tcW w:w="855" w:type="pct"/>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广东美的暖通设备有限公司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风机盘管</w:t>
            </w:r>
          </w:p>
        </w:tc>
        <w:tc>
          <w:tcPr>
            <w:tcW w:w="1164" w:type="pct"/>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1565" w:type="pct"/>
            <w:gridSpan w:val="3"/>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p>
        </w:tc>
        <w:tc>
          <w:tcPr>
            <w:tcW w:w="855" w:type="pct"/>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308" w:type="pct"/>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1331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组合式新风机组</w:t>
            </w:r>
          </w:p>
        </w:tc>
        <w:tc>
          <w:tcPr>
            <w:tcW w:w="1164" w:type="pct"/>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1565" w:type="pct"/>
            <w:gridSpan w:val="3"/>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p>
        </w:tc>
        <w:tc>
          <w:tcPr>
            <w:tcW w:w="855" w:type="pct"/>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308" w:type="pct"/>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冷凝水回收机组（套）</w:t>
            </w:r>
          </w:p>
        </w:tc>
        <w:tc>
          <w:tcPr>
            <w:tcW w:w="1164" w:type="pct"/>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1565" w:type="pct"/>
            <w:gridSpan w:val="3"/>
            <w:tcBorders>
              <w:top w:val="nil"/>
              <w:left w:val="nil"/>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回收水量20T/h，P＜0.6mpa</w:t>
            </w:r>
          </w:p>
        </w:tc>
        <w:tc>
          <w:tcPr>
            <w:tcW w:w="855" w:type="pct"/>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p>
        </w:tc>
        <w:tc>
          <w:tcPr>
            <w:tcW w:w="308" w:type="pct"/>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自然冷却型风冷机组</w:t>
            </w:r>
          </w:p>
        </w:tc>
        <w:tc>
          <w:tcPr>
            <w:tcW w:w="1164" w:type="pct"/>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CRITICOOL.FC.A.LN500V1R407C</w:t>
            </w:r>
          </w:p>
        </w:tc>
        <w:tc>
          <w:tcPr>
            <w:tcW w:w="1565" w:type="pct"/>
            <w:gridSpan w:val="3"/>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电源：380V/3PH/50HZ</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功率：164.8KW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电流：401A</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制冷量：470KW</w:t>
            </w:r>
          </w:p>
        </w:tc>
        <w:tc>
          <w:tcPr>
            <w:tcW w:w="855" w:type="pct"/>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阿尔西制冷工程技术（北京）有限公司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240" w:hRule="atLeast"/>
          <w:jc w:val="center"/>
        </w:trPr>
        <w:tc>
          <w:tcPr>
            <w:tcW w:w="4934" w:type="pct"/>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冷却塔设备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960"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玻璃钢冷却塔</w:t>
            </w:r>
          </w:p>
        </w:tc>
        <w:tc>
          <w:tcPr>
            <w:tcW w:w="11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DBHZ5-900</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风机直径：3100mm</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功率：7.5kw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冷却水量：900㎡/n</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风量：1175m³/n</w:t>
            </w:r>
          </w:p>
        </w:tc>
        <w:tc>
          <w:tcPr>
            <w:tcW w:w="855" w:type="pct"/>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山东金光集团有限公司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68"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玻璃钢冷却塔</w:t>
            </w:r>
          </w:p>
        </w:tc>
        <w:tc>
          <w:tcPr>
            <w:tcW w:w="11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BDFZ2-900</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冷却水量：900m³/h</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功率：7.5kw</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风机直径：2800mm</w:t>
            </w:r>
          </w:p>
        </w:tc>
        <w:tc>
          <w:tcPr>
            <w:tcW w:w="855" w:type="pct"/>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山东金光集团有限公司</w:t>
            </w:r>
          </w:p>
        </w:tc>
        <w:tc>
          <w:tcPr>
            <w:tcW w:w="308"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240" w:hRule="atLeast"/>
          <w:jc w:val="center"/>
        </w:trPr>
        <w:tc>
          <w:tcPr>
            <w:tcW w:w="4934" w:type="pct"/>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水泵设备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冷却水循环泵                             4号、5号</w:t>
            </w:r>
          </w:p>
        </w:tc>
        <w:tc>
          <w:tcPr>
            <w:tcW w:w="1164"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GTW150-400(I)C</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流量Q175m³/h 扬程H29.5m  功率KW22KW  电压V380V</w:t>
            </w:r>
          </w:p>
        </w:tc>
        <w:tc>
          <w:tcPr>
            <w:tcW w:w="855" w:type="pct"/>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308"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冷却水                                   1号、2号、3号</w:t>
            </w:r>
          </w:p>
        </w:tc>
        <w:tc>
          <w:tcPr>
            <w:tcW w:w="1164"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GTW300-315A</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流量Q605m³/h 扬程28.2m  功率KW75KW 电压V380V</w:t>
            </w:r>
          </w:p>
        </w:tc>
        <w:tc>
          <w:tcPr>
            <w:tcW w:w="870" w:type="pct"/>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29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冷冻水循环泵                                            1号、2号、3号</w:t>
            </w:r>
          </w:p>
        </w:tc>
        <w:tc>
          <w:tcPr>
            <w:tcW w:w="1164"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GTW250-315</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流量Q550m³/h 扬程H32m  功率KW75KW  电压V380V</w:t>
            </w:r>
          </w:p>
        </w:tc>
        <w:tc>
          <w:tcPr>
            <w:tcW w:w="870" w:type="pct"/>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29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冷冻水循环泵                                           4号、5号</w:t>
            </w:r>
          </w:p>
        </w:tc>
        <w:tc>
          <w:tcPr>
            <w:tcW w:w="1164"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GTW125-160</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流量Q166m³/h 扬程H30m  功率KW22KW  电压V380V</w:t>
            </w:r>
          </w:p>
        </w:tc>
        <w:tc>
          <w:tcPr>
            <w:tcW w:w="870" w:type="pct"/>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29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空调水补水机组                                1号、2号</w:t>
            </w:r>
          </w:p>
        </w:tc>
        <w:tc>
          <w:tcPr>
            <w:tcW w:w="1164"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CDMF3-15LSWSC</w:t>
            </w:r>
          </w:p>
        </w:tc>
        <w:tc>
          <w:tcPr>
            <w:tcW w:w="1565" w:type="pct"/>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流量Q 3m³/h 扬程H90m  功率KW1.5KW  电压V380V</w:t>
            </w:r>
          </w:p>
        </w:tc>
        <w:tc>
          <w:tcPr>
            <w:tcW w:w="870" w:type="pct"/>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上海高田</w:t>
            </w:r>
          </w:p>
        </w:tc>
        <w:tc>
          <w:tcPr>
            <w:tcW w:w="29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4934" w:type="pct"/>
            <w:gridSpan w:val="10"/>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000000"/>
                <w:kern w:val="0"/>
                <w:sz w:val="16"/>
                <w:szCs w:val="16"/>
                <w:lang w:val="en-US" w:eastAsia="zh-CN"/>
              </w:rPr>
            </w:pPr>
            <w:r>
              <w:rPr>
                <w:rFonts w:hint="eastAsia" w:ascii="宋体" w:hAnsi="宋体" w:cs="宋体"/>
                <w:b/>
                <w:bCs/>
                <w:color w:val="000000"/>
                <w:kern w:val="0"/>
                <w:sz w:val="20"/>
                <w:szCs w:val="20"/>
                <w:lang w:val="en-US" w:eastAsia="zh-CN"/>
              </w:rPr>
              <w:t>其他附属</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定压补水装置（套）</w:t>
            </w:r>
          </w:p>
        </w:tc>
        <w:tc>
          <w:tcPr>
            <w:tcW w:w="116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1565"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6"/>
                <w:szCs w:val="16"/>
                <w:lang w:val="en-US" w:eastAsia="zh-CN"/>
              </w:rPr>
            </w:pPr>
          </w:p>
        </w:tc>
        <w:tc>
          <w:tcPr>
            <w:tcW w:w="87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16"/>
                <w:szCs w:val="16"/>
                <w:lang w:val="en-US" w:eastAsia="zh-CN"/>
              </w:rPr>
            </w:pP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小球在线清洗装置（套）</w:t>
            </w:r>
          </w:p>
        </w:tc>
        <w:tc>
          <w:tcPr>
            <w:tcW w:w="116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1565"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6"/>
                <w:szCs w:val="16"/>
                <w:lang w:val="en-US" w:eastAsia="zh-CN"/>
              </w:rPr>
            </w:pPr>
          </w:p>
        </w:tc>
        <w:tc>
          <w:tcPr>
            <w:tcW w:w="87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旁通水处理器</w:t>
            </w:r>
          </w:p>
        </w:tc>
        <w:tc>
          <w:tcPr>
            <w:tcW w:w="116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1565"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电压：220V</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功率：0.6kw</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设备承压：1.6mpa</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适用管经：400mm</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输水管经：40mm</w:t>
            </w:r>
          </w:p>
        </w:tc>
        <w:tc>
          <w:tcPr>
            <w:tcW w:w="87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旁通水处理器</w:t>
            </w:r>
          </w:p>
        </w:tc>
        <w:tc>
          <w:tcPr>
            <w:tcW w:w="116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1565"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电压：220V</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功率：0.9kw</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设备承压：1.6mpa</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适用管经：450mm</w:t>
            </w:r>
          </w:p>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输水管经：40mm</w:t>
            </w:r>
          </w:p>
        </w:tc>
        <w:tc>
          <w:tcPr>
            <w:tcW w:w="87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软化水装置（套）</w:t>
            </w:r>
          </w:p>
        </w:tc>
        <w:tc>
          <w:tcPr>
            <w:tcW w:w="116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1565"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SYS-10RQ，产水量8-10m3/h，40w</w:t>
            </w:r>
          </w:p>
        </w:tc>
        <w:tc>
          <w:tcPr>
            <w:tcW w:w="87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04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冷却水自动加药装置（套）</w:t>
            </w:r>
          </w:p>
        </w:tc>
        <w:tc>
          <w:tcPr>
            <w:tcW w:w="116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1565"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p>
        </w:tc>
        <w:tc>
          <w:tcPr>
            <w:tcW w:w="87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报告厅新风系统增加4个温度传感器及控制线与自控连接</w:t>
            </w:r>
          </w:p>
        </w:tc>
        <w:tc>
          <w:tcPr>
            <w:tcW w:w="21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293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涉及高空作业，一项</w:t>
            </w:r>
          </w:p>
        </w:tc>
        <w:tc>
          <w:tcPr>
            <w:tcW w:w="1632"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5" w:type="pct"/>
          <w:trHeight w:val="780"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报告厅温控面板及控制线与自控连接</w:t>
            </w:r>
          </w:p>
        </w:tc>
        <w:tc>
          <w:tcPr>
            <w:tcW w:w="21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293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一项</w:t>
            </w:r>
          </w:p>
        </w:tc>
        <w:tc>
          <w:tcPr>
            <w:tcW w:w="1632"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6"/>
                <w:szCs w:val="16"/>
                <w:lang w:val="en-US" w:eastAsia="zh-CN"/>
              </w:rPr>
            </w:pPr>
          </w:p>
        </w:tc>
        <w:tc>
          <w:tcPr>
            <w:tcW w:w="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bl>
    <w:p>
      <w:pPr>
        <w:tabs>
          <w:tab w:val="left" w:pos="7635"/>
        </w:tabs>
        <w:spacing w:line="480" w:lineRule="auto"/>
        <w:ind w:right="-20"/>
        <w:rPr>
          <w:rFonts w:hint="eastAsia" w:ascii="宋体" w:hAnsi="宋体" w:cs="宋体"/>
          <w:color w:val="000000"/>
          <w:position w:val="-3"/>
          <w:sz w:val="24"/>
        </w:rPr>
      </w:pPr>
      <w:r>
        <w:rPr>
          <w:rFonts w:hint="eastAsia" w:ascii="宋体" w:hAnsi="宋体" w:cs="宋体"/>
          <w:color w:val="000000"/>
          <w:position w:val="-3"/>
          <w:sz w:val="24"/>
        </w:rPr>
        <w:t>表格</w:t>
      </w:r>
      <w:r>
        <w:rPr>
          <w:rFonts w:hint="eastAsia" w:ascii="宋体" w:hAnsi="宋体" w:cs="宋体"/>
          <w:color w:val="000000"/>
          <w:position w:val="-3"/>
          <w:sz w:val="24"/>
          <w:lang w:val="en-US" w:eastAsia="zh-CN"/>
        </w:rPr>
        <w:t>可</w:t>
      </w:r>
      <w:r>
        <w:rPr>
          <w:rFonts w:hint="eastAsia" w:ascii="宋体" w:hAnsi="宋体" w:cs="宋体"/>
          <w:color w:val="000000"/>
          <w:position w:val="-3"/>
          <w:sz w:val="24"/>
        </w:rPr>
        <w:t>可拓展</w:t>
      </w:r>
    </w:p>
    <w:p>
      <w:pPr>
        <w:tabs>
          <w:tab w:val="left" w:pos="7635"/>
        </w:tabs>
        <w:spacing w:line="480" w:lineRule="auto"/>
        <w:ind w:right="-2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spacing w:line="480" w:lineRule="auto"/>
        <w:rPr>
          <w:rFonts w:ascii="宋体" w:hAnsi="宋体"/>
          <w:b/>
          <w:bCs/>
          <w:sz w:val="24"/>
        </w:rPr>
      </w:pPr>
      <w:r>
        <w:rPr>
          <w:rFonts w:hint="eastAsia" w:ascii="宋体" w:hAnsi="宋体"/>
          <w:sz w:val="24"/>
        </w:rPr>
        <w:t>法定代表人或授权委托人（签字或盖章）：</w:t>
      </w:r>
      <w:r>
        <w:rPr>
          <w:rFonts w:hint="eastAsia" w:ascii="宋体" w:hAnsi="宋体"/>
          <w:sz w:val="24"/>
          <w:u w:val="single"/>
        </w:rPr>
        <w:t xml:space="preserve">                          </w:t>
      </w:r>
    </w:p>
    <w:p>
      <w:pPr>
        <w:spacing w:line="480" w:lineRule="auto"/>
        <w:rPr>
          <w:rFonts w:ascii="宋体" w:hAnsi="宋体"/>
          <w:b/>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pacing w:line="480" w:lineRule="auto"/>
        <w:jc w:val="left"/>
        <w:rPr>
          <w:rFonts w:ascii="宋体" w:hAnsi="宋体"/>
          <w:b/>
          <w:sz w:val="24"/>
        </w:rPr>
        <w:sectPr>
          <w:footnotePr>
            <w:numRestart w:val="eachPage"/>
          </w:footnotePr>
          <w:pgSz w:w="11906" w:h="16838"/>
          <w:pgMar w:top="1418" w:right="1418" w:bottom="1418" w:left="1418" w:header="851" w:footer="992" w:gutter="0"/>
          <w:cols w:space="720" w:num="1"/>
        </w:sectPr>
      </w:pPr>
    </w:p>
    <w:p>
      <w:pPr>
        <w:pStyle w:val="4"/>
        <w:spacing w:before="0" w:after="0" w:line="360" w:lineRule="auto"/>
        <w:ind w:firstLine="1405"/>
        <w:jc w:val="center"/>
        <w:rPr>
          <w:rFonts w:ascii="宋体" w:hAnsi="宋体"/>
          <w:sz w:val="28"/>
          <w:szCs w:val="28"/>
          <w:lang w:val="en-US"/>
        </w:rPr>
      </w:pPr>
      <w:r>
        <w:rPr>
          <w:rFonts w:hint="eastAsia" w:ascii="宋体" w:hAnsi="宋体"/>
          <w:sz w:val="28"/>
          <w:szCs w:val="28"/>
          <w:lang w:val="en-US"/>
        </w:rPr>
        <w:t>二、资格审查资料</w:t>
      </w:r>
    </w:p>
    <w:p>
      <w:pPr>
        <w:pStyle w:val="4"/>
        <w:spacing w:before="0" w:after="0" w:line="360" w:lineRule="auto"/>
        <w:ind w:firstLine="1205"/>
        <w:jc w:val="left"/>
        <w:rPr>
          <w:rFonts w:ascii="宋体" w:hAnsi="宋体"/>
          <w:sz w:val="24"/>
          <w:szCs w:val="21"/>
          <w:lang w:val="en-US"/>
        </w:rPr>
      </w:pPr>
    </w:p>
    <w:p>
      <w:pPr>
        <w:pStyle w:val="4"/>
        <w:spacing w:before="0" w:after="0" w:line="360" w:lineRule="auto"/>
        <w:ind w:firstLine="1205"/>
        <w:jc w:val="left"/>
        <w:rPr>
          <w:sz w:val="24"/>
          <w:szCs w:val="24"/>
        </w:rPr>
      </w:pPr>
      <w:r>
        <w:rPr>
          <w:rFonts w:hint="eastAsia" w:ascii="宋体" w:hAnsi="宋体"/>
          <w:sz w:val="24"/>
          <w:szCs w:val="21"/>
          <w:lang w:val="en-US"/>
        </w:rPr>
        <w:t>1</w:t>
      </w:r>
      <w:r>
        <w:rPr>
          <w:rFonts w:hint="eastAsia" w:ascii="宋体" w:hAnsi="宋体"/>
          <w:sz w:val="24"/>
          <w:szCs w:val="21"/>
        </w:rPr>
        <w:t>、法定代表人</w:t>
      </w:r>
      <w:bookmarkEnd w:id="171"/>
      <w:r>
        <w:rPr>
          <w:rFonts w:hint="eastAsia" w:ascii="宋体" w:hAnsi="宋体"/>
          <w:sz w:val="24"/>
          <w:szCs w:val="21"/>
        </w:rPr>
        <w:t>身份证明</w:t>
      </w:r>
      <w:r>
        <w:rPr>
          <w:rFonts w:hint="eastAsia" w:ascii="宋体" w:hAnsi="宋体"/>
          <w:sz w:val="24"/>
          <w:szCs w:val="21"/>
        </w:rPr>
        <w:br w:type="textWrapping"/>
      </w:r>
      <w:r>
        <w:rPr>
          <w:rFonts w:hAnsi="宋体"/>
          <w:color w:val="000000"/>
          <w:sz w:val="24"/>
          <w:szCs w:val="24"/>
        </w:rPr>
        <w:br w:type="textWrapping"/>
      </w:r>
      <w:r>
        <w:rPr>
          <w:rFonts w:hAnsi="宋体"/>
          <w:color w:val="000000"/>
          <w:sz w:val="24"/>
          <w:szCs w:val="24"/>
        </w:rPr>
        <w:t xml:space="preserve">     </w:t>
      </w:r>
      <w:r>
        <w:rPr>
          <w:sz w:val="24"/>
          <w:szCs w:val="24"/>
        </w:rPr>
        <w:t xml:space="preserve">      </w:t>
      </w:r>
      <w:r>
        <w:rPr>
          <w:rFonts w:hint="eastAsia" w:ascii="宋体" w:hAnsi="宋体"/>
          <w:b w:val="0"/>
          <w:bCs w:val="0"/>
          <w:color w:val="000000"/>
          <w:sz w:val="24"/>
          <w:szCs w:val="24"/>
        </w:rPr>
        <w:t xml:space="preserve">           </w:t>
      </w:r>
      <w:r>
        <w:rPr>
          <w:rFonts w:hint="eastAsia" w:ascii="宋体" w:hAnsi="宋体"/>
          <w:bCs w:val="0"/>
          <w:color w:val="000000"/>
          <w:sz w:val="24"/>
          <w:szCs w:val="24"/>
        </w:rPr>
        <w:t>法定代表人身份证明</w:t>
      </w:r>
    </w:p>
    <w:p>
      <w:pPr>
        <w:spacing w:line="440" w:lineRule="exact"/>
        <w:ind w:firstLine="1200"/>
        <w:rPr>
          <w:rFonts w:asci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供 应 商：</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firstLineChars="200"/>
        <w:rPr>
          <w:rFonts w:asci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 xml:space="preserve"> 年</w:t>
      </w:r>
      <w:r>
        <w:rPr>
          <w:rFonts w:hint="eastAsia" w:ascii="宋体" w:hAnsi="宋体"/>
          <w:color w:val="000000"/>
          <w:sz w:val="24"/>
          <w:u w:val="single"/>
        </w:rPr>
        <w:t xml:space="preserve">          </w:t>
      </w:r>
      <w:r>
        <w:rPr>
          <w:rFonts w:hint="eastAsia" w:ascii="宋体" w:hAnsi="宋体"/>
          <w:color w:val="000000"/>
          <w:sz w:val="24"/>
        </w:rPr>
        <w:t xml:space="preserve"> 月</w:t>
      </w:r>
      <w:r>
        <w:rPr>
          <w:rFonts w:hint="eastAsia" w:ascii="宋体" w:hAnsi="宋体"/>
          <w:color w:val="000000"/>
          <w:sz w:val="24"/>
          <w:u w:val="single"/>
        </w:rPr>
        <w:t xml:space="preserve">          </w:t>
      </w:r>
      <w:r>
        <w:rPr>
          <w:rFonts w:hint="eastAsia" w:ascii="宋体" w:hAnsi="宋体"/>
          <w:color w:val="000000"/>
          <w:sz w:val="24"/>
        </w:rPr>
        <w:t xml:space="preserve"> 日</w:t>
      </w:r>
    </w:p>
    <w:p>
      <w:pPr>
        <w:spacing w:line="360" w:lineRule="auto"/>
        <w:ind w:firstLine="480" w:firstLineChars="200"/>
        <w:rPr>
          <w:rFonts w:asci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 xml:space="preserve"> 性     别：</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firstLineChars="200"/>
        <w:rPr>
          <w:rFonts w:ascii="宋体"/>
          <w:color w:val="000000"/>
          <w:sz w:val="24"/>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 xml:space="preserve"> 职     务：</w:t>
      </w:r>
      <w:r>
        <w:rPr>
          <w:rFonts w:hint="eastAsia"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 xml:space="preserve"> （供应商名称）的法定代表人。</w:t>
      </w:r>
    </w:p>
    <w:p>
      <w:pPr>
        <w:spacing w:line="440" w:lineRule="exact"/>
        <w:ind w:firstLine="480" w:firstLineChars="200"/>
        <w:rPr>
          <w:rFonts w:ascii="宋体"/>
          <w:color w:val="000000"/>
          <w:sz w:val="24"/>
        </w:rPr>
      </w:pPr>
      <w:r>
        <w:rPr>
          <w:rFonts w:hint="eastAsia" w:ascii="宋体" w:hAnsi="宋体"/>
          <w:color w:val="000000"/>
          <w:sz w:val="24"/>
        </w:rPr>
        <w:t>特此证明。</w:t>
      </w:r>
    </w:p>
    <w:p>
      <w:pPr>
        <w:spacing w:line="440" w:lineRule="exact"/>
        <w:ind w:firstLine="1200"/>
        <w:rPr>
          <w:rFonts w:ascii="宋体"/>
          <w:color w:val="000000"/>
          <w:sz w:val="24"/>
        </w:rPr>
      </w:pPr>
    </w:p>
    <w:p>
      <w:pPr>
        <w:spacing w:line="440" w:lineRule="exact"/>
        <w:ind w:firstLine="1200"/>
        <w:rPr>
          <w:rFonts w:ascii="宋体"/>
          <w:color w:val="000000"/>
          <w:sz w:val="24"/>
        </w:rPr>
      </w:pPr>
      <w:r>
        <w:rPr>
          <w:rFonts w:hint="eastAsia" w:ascii="宋体"/>
          <w:color w:val="000000"/>
          <w:sz w:val="24"/>
        </w:rPr>
        <w:t>附：法定代表人身份复印件</w:t>
      </w:r>
    </w:p>
    <w:p>
      <w:pPr>
        <w:spacing w:line="440" w:lineRule="exact"/>
        <w:ind w:firstLine="1200"/>
        <w:rPr>
          <w:rFonts w:ascii="宋体"/>
          <w:color w:val="000000"/>
          <w:sz w:val="24"/>
        </w:rPr>
      </w:pPr>
      <w:r>
        <w:rPr>
          <w:rFonts w:hint="eastAsia" w:ascii="宋体"/>
          <w:color w:val="000000"/>
          <w:sz w:val="24"/>
        </w:rPr>
        <w:t xml:space="preserve">    </w:t>
      </w:r>
    </w:p>
    <w:p>
      <w:pPr>
        <w:spacing w:line="440" w:lineRule="exact"/>
        <w:ind w:firstLine="1200"/>
        <w:rPr>
          <w:rFonts w:ascii="宋体"/>
          <w:color w:val="000000"/>
          <w:sz w:val="24"/>
        </w:rPr>
      </w:pPr>
    </w:p>
    <w:p>
      <w:pPr>
        <w:tabs>
          <w:tab w:val="left" w:pos="9315"/>
        </w:tabs>
        <w:spacing w:line="360" w:lineRule="auto"/>
        <w:ind w:right="-20" w:firstLine="1200"/>
        <w:rPr>
          <w:rFonts w:ascii="宋体" w:hAnsi="宋体" w:cs="宋体"/>
          <w:color w:val="000000"/>
          <w:position w:val="-3"/>
          <w:sz w:val="24"/>
          <w:u w:val="single" w:color="000000"/>
        </w:rPr>
      </w:pPr>
      <w:r>
        <w:rPr>
          <w:rFonts w:hint="eastAsia" w:ascii="宋体" w:hAnsi="宋体"/>
          <w:color w:val="000000"/>
          <w:sz w:val="24"/>
        </w:rPr>
        <w:t xml:space="preserve">                                    </w:t>
      </w: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spacing w:line="440" w:lineRule="exact"/>
        <w:ind w:firstLine="4080" w:firstLineChars="1700"/>
        <w:rPr>
          <w:rFonts w:ascii="宋体" w:hAnsi="宋体"/>
          <w:color w:val="000000"/>
          <w:szCs w:val="21"/>
        </w:rPr>
      </w:pPr>
      <w:r>
        <w:rPr>
          <w:rFonts w:hint="eastAsia" w:ascii="宋体" w:hAnsi="宋体"/>
          <w:color w:val="000000"/>
          <w:sz w:val="24"/>
        </w:rPr>
        <w:t xml:space="preserve">     </w:t>
      </w:r>
      <w:r>
        <w:rPr>
          <w:rFonts w:hint="eastAsia" w:ascii="宋体" w:hAnsi="宋体" w:cs="Arial"/>
          <w:color w:val="000000"/>
          <w:sz w:val="24"/>
        </w:rPr>
        <w:t>日期：</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Cs w:val="21"/>
        </w:rPr>
        <w:t xml:space="preserve">           </w:t>
      </w:r>
    </w:p>
    <w:p>
      <w:pPr>
        <w:pStyle w:val="4"/>
        <w:spacing w:before="0" w:after="0" w:line="360" w:lineRule="auto"/>
        <w:ind w:firstLine="1000"/>
        <w:rPr>
          <w:rFonts w:hAnsi="宋体"/>
          <w:color w:val="000000"/>
        </w:rPr>
      </w:pPr>
      <w:r>
        <w:rPr>
          <w:rFonts w:hAnsi="宋体"/>
          <w:b w:val="0"/>
          <w:bCs w:val="0"/>
          <w:color w:val="000000"/>
          <w:sz w:val="20"/>
        </w:rPr>
        <w:br w:type="page"/>
      </w:r>
      <w:bookmarkStart w:id="178" w:name="_Toc11257017"/>
      <w:bookmarkStart w:id="179" w:name="_Toc342296576"/>
      <w:bookmarkStart w:id="180" w:name="_Toc152045792"/>
      <w:bookmarkStart w:id="181" w:name="_Toc241459819"/>
      <w:bookmarkStart w:id="182" w:name="_Toc152042581"/>
      <w:bookmarkStart w:id="183" w:name="_Toc483684713"/>
      <w:bookmarkStart w:id="184" w:name="_Toc489691827"/>
      <w:bookmarkStart w:id="185" w:name="_Toc179632812"/>
      <w:bookmarkStart w:id="186" w:name="_Toc480487464"/>
      <w:bookmarkStart w:id="187" w:name="_Toc144974861"/>
      <w:r>
        <w:rPr>
          <w:rFonts w:hint="eastAsia" w:ascii="宋体" w:hAnsi="宋体"/>
          <w:sz w:val="24"/>
          <w:szCs w:val="21"/>
          <w:lang w:val="en-US"/>
        </w:rPr>
        <w:t>2、</w:t>
      </w:r>
      <w:r>
        <w:rPr>
          <w:rFonts w:hint="eastAsia" w:ascii="宋体" w:hAnsi="宋体"/>
          <w:sz w:val="24"/>
          <w:szCs w:val="21"/>
        </w:rPr>
        <w:t>授权委托书</w:t>
      </w:r>
      <w:bookmarkEnd w:id="178"/>
      <w:bookmarkEnd w:id="179"/>
      <w:bookmarkEnd w:id="180"/>
      <w:bookmarkEnd w:id="181"/>
      <w:bookmarkEnd w:id="182"/>
      <w:bookmarkEnd w:id="183"/>
      <w:bookmarkEnd w:id="184"/>
      <w:bookmarkEnd w:id="185"/>
      <w:bookmarkEnd w:id="186"/>
      <w:bookmarkEnd w:id="187"/>
    </w:p>
    <w:p>
      <w:pPr>
        <w:spacing w:line="360" w:lineRule="auto"/>
        <w:ind w:firstLine="482" w:firstLineChars="200"/>
        <w:jc w:val="center"/>
        <w:rPr>
          <w:rFonts w:hAnsi="宋体"/>
          <w:color w:val="000000"/>
          <w:sz w:val="24"/>
        </w:rPr>
      </w:pPr>
      <w:r>
        <w:rPr>
          <w:rFonts w:hint="eastAsia" w:ascii="宋体" w:hAnsi="宋体"/>
          <w:b/>
          <w:sz w:val="24"/>
        </w:rPr>
        <w:t>授权委托书</w:t>
      </w:r>
    </w:p>
    <w:p>
      <w:pPr>
        <w:spacing w:line="360" w:lineRule="auto"/>
        <w:ind w:firstLine="480" w:firstLineChars="200"/>
        <w:rPr>
          <w:rFonts w:ascii="宋体" w:hAnsi="宋体"/>
          <w:sz w:val="24"/>
        </w:rPr>
      </w:pPr>
    </w:p>
    <w:p>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（供应商名称）的法定代表人，现委托我单位</w:t>
      </w:r>
      <w:r>
        <w:rPr>
          <w:rFonts w:hint="eastAsia" w:ascii="宋体" w:hAnsi="宋体" w:cs="宋体"/>
          <w:sz w:val="24"/>
          <w:u w:val="single"/>
        </w:rPr>
        <w:t xml:space="preserve">         </w:t>
      </w:r>
      <w:r>
        <w:rPr>
          <w:rFonts w:hint="eastAsia" w:ascii="宋体" w:hAnsi="宋体" w:cs="宋体"/>
          <w:sz w:val="24"/>
        </w:rPr>
        <w:t>（姓名）身份证号：</w:t>
      </w:r>
      <w:r>
        <w:rPr>
          <w:rFonts w:hint="eastAsia" w:ascii="宋体" w:hAnsi="宋体" w:cs="宋体"/>
          <w:sz w:val="24"/>
          <w:u w:val="single"/>
        </w:rPr>
        <w:t xml:space="preserve">               </w:t>
      </w:r>
      <w:r>
        <w:rPr>
          <w:rFonts w:hint="eastAsia" w:ascii="宋体" w:hAnsi="宋体" w:cs="宋体"/>
          <w:sz w:val="24"/>
        </w:rPr>
        <w:t>为我方代理人。代理人根据授权，以我方名义签署、澄清、说明、补正、递交、修改</w:t>
      </w:r>
      <w:r>
        <w:rPr>
          <w:rFonts w:hint="eastAsia" w:ascii="宋体" w:hAnsi="宋体" w:cs="宋体"/>
          <w:sz w:val="24"/>
          <w:u w:val="single"/>
        </w:rPr>
        <w:t xml:space="preserve">           </w:t>
      </w:r>
      <w:r>
        <w:rPr>
          <w:rFonts w:hint="eastAsia" w:ascii="宋体" w:hAnsi="宋体" w:cs="宋体"/>
          <w:sz w:val="24"/>
        </w:rPr>
        <w:t>（项目名称）响应文件、签订合同和处理相关事宜，其法律后果由我方承担。</w:t>
      </w:r>
    </w:p>
    <w:p>
      <w:pPr>
        <w:spacing w:line="360" w:lineRule="auto"/>
        <w:ind w:firstLine="480" w:firstLineChars="200"/>
        <w:rPr>
          <w:rFonts w:ascii="宋体" w:hAnsi="宋体"/>
          <w:color w:val="000000"/>
          <w:sz w:val="24"/>
        </w:rPr>
      </w:pPr>
      <w:r>
        <w:rPr>
          <w:rFonts w:hint="eastAsia" w:ascii="宋体" w:hAnsi="宋体"/>
          <w:color w:val="000000"/>
          <w:sz w:val="24"/>
        </w:rPr>
        <w:t>委托期限：</w:t>
      </w:r>
      <w:r>
        <w:rPr>
          <w:rFonts w:hint="eastAsia" w:ascii="宋体" w:hAnsi="宋体" w:cs="宋体"/>
          <w:sz w:val="24"/>
        </w:rPr>
        <w:t>本授权书期限自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日起至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日止，在此授权范围和期限内，被授权人所实施的行为具有法律效力，授权人予以认可。</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授权委托人无权转让委托权，特此委托。</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附：授权委托人身份证复印件</w:t>
      </w:r>
    </w:p>
    <w:p>
      <w:pPr>
        <w:spacing w:line="360" w:lineRule="auto"/>
        <w:ind w:left="1260" w:firstLine="1200"/>
        <w:rPr>
          <w:rFonts w:ascii="宋体" w:hAnsi="宋体" w:cs="宋体"/>
          <w:sz w:val="24"/>
        </w:rPr>
      </w:pPr>
    </w:p>
    <w:p>
      <w:pPr>
        <w:tabs>
          <w:tab w:val="left" w:pos="7635"/>
        </w:tabs>
        <w:spacing w:line="480" w:lineRule="auto"/>
        <w:ind w:right="-20" w:firstLine="240" w:firstLineChars="10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p>
    <w:p>
      <w:pPr>
        <w:spacing w:line="480" w:lineRule="auto"/>
        <w:ind w:firstLine="240" w:firstLineChars="100"/>
        <w:rPr>
          <w:rFonts w:ascii="宋体" w:hAnsi="宋体" w:cs="宋体"/>
          <w:sz w:val="24"/>
        </w:rPr>
      </w:pPr>
      <w:r>
        <w:rPr>
          <w:rFonts w:hint="eastAsia" w:ascii="宋体" w:hAnsi="宋体" w:cs="宋体"/>
          <w:sz w:val="24"/>
        </w:rPr>
        <w:t>法定代表人（签字或盖章）：</w:t>
      </w:r>
      <w:r>
        <w:rPr>
          <w:rFonts w:hint="eastAsia" w:ascii="宋体" w:hAnsi="宋体" w:cs="宋体"/>
          <w:sz w:val="24"/>
          <w:u w:val="single"/>
        </w:rPr>
        <w:t xml:space="preserve">                   </w:t>
      </w:r>
    </w:p>
    <w:p>
      <w:pPr>
        <w:spacing w:line="480" w:lineRule="auto"/>
        <w:ind w:firstLine="240" w:firstLineChars="100"/>
        <w:rPr>
          <w:rFonts w:ascii="宋体" w:hAnsi="宋体" w:cs="宋体"/>
          <w:sz w:val="24"/>
          <w:u w:val="single"/>
        </w:rPr>
      </w:pPr>
      <w:r>
        <w:rPr>
          <w:rFonts w:hint="eastAsia" w:ascii="宋体" w:hAnsi="宋体" w:cs="宋体"/>
          <w:sz w:val="24"/>
        </w:rPr>
        <w:t>授权委托人（签字）：</w:t>
      </w:r>
      <w:r>
        <w:rPr>
          <w:rFonts w:hint="eastAsia" w:ascii="宋体" w:hAnsi="宋体" w:cs="宋体"/>
          <w:sz w:val="24"/>
          <w:u w:val="single"/>
        </w:rPr>
        <w:t xml:space="preserve">                         </w:t>
      </w:r>
    </w:p>
    <w:p>
      <w:pPr>
        <w:spacing w:line="480" w:lineRule="auto"/>
        <w:ind w:firstLine="240" w:firstLineChars="1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line="480" w:lineRule="auto"/>
        <w:ind w:firstLine="240" w:firstLineChars="100"/>
        <w:rPr>
          <w:rFonts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pPr>
        <w:spacing w:line="480" w:lineRule="auto"/>
        <w:ind w:firstLine="240" w:firstLineChars="100"/>
        <w:rPr>
          <w:rFonts w:ascii="宋体" w:hAnsi="宋体"/>
          <w:color w:val="000000"/>
          <w:sz w:val="24"/>
        </w:rPr>
      </w:pPr>
      <w:r>
        <w:rPr>
          <w:rFonts w:hint="eastAsia" w:ascii="宋体" w:hAnsi="宋体" w:cs="Arial"/>
          <w:color w:val="000000"/>
          <w:sz w:val="24"/>
        </w:rPr>
        <w:t>日期：</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4"/>
        <w:spacing w:before="0" w:after="0" w:line="360" w:lineRule="auto"/>
        <w:ind w:firstLine="1200"/>
        <w:rPr>
          <w:rFonts w:ascii="宋体" w:hAnsi="宋体" w:cs="宋体"/>
          <w:szCs w:val="21"/>
        </w:rPr>
      </w:pPr>
      <w:r>
        <w:rPr>
          <w:rFonts w:hint="eastAsia" w:ascii="宋体" w:hAnsi="宋体"/>
          <w:b w:val="0"/>
          <w:bCs w:val="0"/>
          <w:color w:val="000000"/>
          <w:sz w:val="24"/>
        </w:rPr>
        <w:br w:type="page"/>
      </w:r>
    </w:p>
    <w:p>
      <w:pPr>
        <w:widowControl/>
        <w:spacing w:line="480" w:lineRule="auto"/>
        <w:ind w:firstLine="1200"/>
        <w:jc w:val="left"/>
        <w:rPr>
          <w:rFonts w:ascii="宋体" w:hAnsi="宋体" w:cs="宋体"/>
          <w:szCs w:val="21"/>
        </w:rPr>
        <w:sectPr>
          <w:footnotePr>
            <w:numRestart w:val="eachPage"/>
          </w:footnotePr>
          <w:pgSz w:w="11906" w:h="16838"/>
          <w:pgMar w:top="1418" w:right="1418" w:bottom="1418" w:left="1418" w:header="851" w:footer="992" w:gutter="0"/>
          <w:cols w:space="720" w:num="1"/>
        </w:sectPr>
      </w:pPr>
    </w:p>
    <w:p>
      <w:pPr>
        <w:pStyle w:val="4"/>
        <w:spacing w:before="0" w:after="0" w:line="360" w:lineRule="auto"/>
        <w:ind w:firstLine="1205"/>
        <w:rPr>
          <w:rFonts w:hAnsi="宋体"/>
          <w:b w:val="0"/>
          <w:bCs w:val="0"/>
          <w:sz w:val="24"/>
          <w:szCs w:val="21"/>
        </w:rPr>
      </w:pPr>
      <w:bookmarkStart w:id="188" w:name="_Toc20230581"/>
      <w:r>
        <w:rPr>
          <w:rFonts w:hint="eastAsia" w:ascii="宋体" w:hAnsi="宋体"/>
          <w:sz w:val="24"/>
          <w:szCs w:val="21"/>
          <w:lang w:val="en-US"/>
        </w:rPr>
        <w:t>3</w:t>
      </w:r>
      <w:r>
        <w:rPr>
          <w:rFonts w:hint="eastAsia" w:ascii="宋体" w:hAnsi="宋体"/>
          <w:sz w:val="24"/>
          <w:szCs w:val="21"/>
        </w:rPr>
        <w:t>、商务条款响应/偏离表格式</w:t>
      </w:r>
      <w:bookmarkEnd w:id="188"/>
    </w:p>
    <w:p>
      <w:pPr>
        <w:spacing w:before="120"/>
        <w:ind w:firstLine="1205"/>
        <w:jc w:val="center"/>
        <w:rPr>
          <w:rFonts w:ascii="宋体" w:hAnsi="宋体"/>
          <w:b/>
          <w:sz w:val="24"/>
        </w:rPr>
      </w:pPr>
      <w:r>
        <w:rPr>
          <w:rFonts w:hint="eastAsia" w:ascii="宋体" w:hAnsi="宋体"/>
          <w:b/>
          <w:sz w:val="24"/>
        </w:rPr>
        <w:t>商务条款偏离表</w:t>
      </w:r>
    </w:p>
    <w:p>
      <w:pPr>
        <w:tabs>
          <w:tab w:val="left" w:pos="1800"/>
          <w:tab w:val="left" w:pos="5580"/>
        </w:tabs>
        <w:spacing w:line="360" w:lineRule="auto"/>
        <w:ind w:firstLine="1205"/>
        <w:rPr>
          <w:rFonts w:ascii="宋体" w:hAnsi="宋体"/>
          <w:b/>
          <w:color w:val="000000"/>
          <w:szCs w:val="21"/>
        </w:rPr>
      </w:pPr>
    </w:p>
    <w:p>
      <w:pPr>
        <w:tabs>
          <w:tab w:val="left" w:pos="1800"/>
          <w:tab w:val="left" w:pos="5580"/>
        </w:tabs>
        <w:spacing w:line="360" w:lineRule="auto"/>
        <w:ind w:firstLine="1200"/>
        <w:rPr>
          <w:rFonts w:ascii="宋体" w:hAnsi="宋体"/>
          <w:color w:val="000000"/>
          <w:sz w:val="24"/>
        </w:rPr>
      </w:pPr>
      <w:r>
        <w:rPr>
          <w:rFonts w:hint="eastAsia" w:ascii="宋体" w:hAnsi="宋体"/>
          <w:color w:val="000000"/>
          <w:sz w:val="24"/>
        </w:rPr>
        <w:t xml:space="preserve">供应商名称:                                       项目编号:   </w:t>
      </w:r>
    </w:p>
    <w:tbl>
      <w:tblPr>
        <w:tblStyle w:val="41"/>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917"/>
        <w:gridCol w:w="2410"/>
        <w:gridCol w:w="2268"/>
        <w:gridCol w:w="166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jc w:val="center"/>
              <w:rPr>
                <w:rFonts w:ascii="宋体" w:hAnsi="宋体"/>
                <w:color w:val="000000"/>
                <w:sz w:val="24"/>
              </w:rPr>
            </w:pPr>
            <w:r>
              <w:rPr>
                <w:rFonts w:hint="eastAsia" w:ascii="宋体" w:hAnsi="宋体"/>
                <w:color w:val="000000"/>
                <w:sz w:val="24"/>
              </w:rPr>
              <w:t>序号</w:t>
            </w: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jc w:val="center"/>
              <w:rPr>
                <w:rFonts w:ascii="宋体" w:hAnsi="宋体"/>
                <w:color w:val="000000"/>
                <w:sz w:val="24"/>
              </w:rPr>
            </w:pPr>
            <w:r>
              <w:rPr>
                <w:rFonts w:hint="eastAsia" w:ascii="宋体" w:hAnsi="宋体"/>
                <w:color w:val="000000"/>
                <w:sz w:val="24"/>
              </w:rPr>
              <w:t>磋商文件条目号</w:t>
            </w:r>
          </w:p>
        </w:tc>
        <w:tc>
          <w:tcPr>
            <w:tcW w:w="2410" w:type="dxa"/>
            <w:tcBorders>
              <w:top w:val="single" w:color="auto" w:sz="4" w:space="0"/>
              <w:left w:val="single" w:color="auto" w:sz="4" w:space="0"/>
              <w:bottom w:val="single" w:color="auto" w:sz="4" w:space="0"/>
              <w:right w:val="single" w:color="auto" w:sz="4" w:space="0"/>
            </w:tcBorders>
            <w:vAlign w:val="center"/>
          </w:tcPr>
          <w:p>
            <w:pPr>
              <w:ind w:firstLine="98" w:firstLineChars="41"/>
              <w:jc w:val="center"/>
              <w:rPr>
                <w:rFonts w:ascii="宋体" w:hAnsi="宋体"/>
                <w:color w:val="000000"/>
                <w:sz w:val="24"/>
              </w:rPr>
            </w:pPr>
            <w:r>
              <w:rPr>
                <w:rFonts w:hint="eastAsia" w:ascii="宋体" w:hAnsi="宋体"/>
                <w:color w:val="000000"/>
                <w:sz w:val="24"/>
              </w:rPr>
              <w:t>磋商文件商务条款</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jc w:val="center"/>
              <w:rPr>
                <w:rFonts w:ascii="宋体" w:hAnsi="宋体"/>
                <w:color w:val="000000"/>
                <w:sz w:val="24"/>
              </w:rPr>
            </w:pPr>
            <w:r>
              <w:rPr>
                <w:rFonts w:hint="eastAsia" w:ascii="宋体" w:hAnsi="宋体"/>
                <w:color w:val="000000"/>
                <w:sz w:val="24"/>
              </w:rPr>
              <w:t>响应文件商务条款</w:t>
            </w:r>
          </w:p>
        </w:tc>
        <w:tc>
          <w:tcPr>
            <w:tcW w:w="1660" w:type="dxa"/>
            <w:tcBorders>
              <w:top w:val="single" w:color="auto" w:sz="4" w:space="0"/>
              <w:left w:val="single" w:color="auto" w:sz="4" w:space="0"/>
              <w:bottom w:val="single" w:color="auto" w:sz="4" w:space="0"/>
              <w:right w:val="single" w:color="auto" w:sz="4" w:space="0"/>
            </w:tcBorders>
            <w:vAlign w:val="center"/>
          </w:tcPr>
          <w:p>
            <w:pPr>
              <w:ind w:firstLine="1200"/>
              <w:jc w:val="center"/>
              <w:rPr>
                <w:rFonts w:ascii="宋体" w:hAnsi="宋体"/>
                <w:color w:val="000000"/>
                <w:sz w:val="24"/>
              </w:rPr>
            </w:pPr>
            <w:r>
              <w:rPr>
                <w:rFonts w:hint="eastAsia" w:ascii="宋体" w:hAnsi="宋体"/>
                <w:color w:val="000000"/>
                <w:sz w:val="24"/>
              </w:rPr>
              <w:t>响应/偏离</w:t>
            </w: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jc w:val="center"/>
              <w:rPr>
                <w:rFonts w:ascii="宋体" w:hAnsi="宋体"/>
                <w:color w:val="000000"/>
                <w:sz w:val="24"/>
              </w:rPr>
            </w:pPr>
            <w:r>
              <w:rPr>
                <w:rFonts w:hint="eastAsia" w:ascii="宋体" w:hAnsi="宋体"/>
                <w:color w:val="00000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c>
          <w:tcPr>
            <w:tcW w:w="1660" w:type="dxa"/>
            <w:tcBorders>
              <w:top w:val="single" w:color="auto" w:sz="4" w:space="0"/>
              <w:left w:val="single" w:color="auto" w:sz="4" w:space="0"/>
              <w:bottom w:val="single" w:color="auto" w:sz="4" w:space="0"/>
              <w:right w:val="single" w:color="auto" w:sz="4" w:space="0"/>
            </w:tcBorders>
          </w:tcPr>
          <w:p>
            <w:pPr>
              <w:ind w:firstLine="1200"/>
              <w:rPr>
                <w:color w:val="00000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ind w:firstLine="1200"/>
              <w:rPr>
                <w:color w:val="000000"/>
                <w:sz w:val="24"/>
              </w:rPr>
            </w:pPr>
          </w:p>
        </w:tc>
      </w:tr>
    </w:tbl>
    <w:p>
      <w:pPr>
        <w:spacing w:before="120" w:after="120"/>
        <w:ind w:firstLine="1200"/>
        <w:rPr>
          <w:color w:val="000000"/>
          <w:sz w:val="24"/>
          <w:u w:val="single"/>
        </w:rPr>
      </w:pPr>
    </w:p>
    <w:p>
      <w:pPr>
        <w:tabs>
          <w:tab w:val="left" w:pos="7635"/>
        </w:tabs>
        <w:spacing w:line="360" w:lineRule="auto"/>
        <w:ind w:right="-20" w:firstLine="120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spacing w:before="120" w:after="120"/>
        <w:ind w:firstLine="1200"/>
        <w:rPr>
          <w:rFonts w:ascii="宋体" w:hAnsi="Courier New"/>
          <w:color w:val="000000"/>
          <w:szCs w:val="21"/>
        </w:rPr>
      </w:pPr>
      <w:r>
        <w:rPr>
          <w:rFonts w:hint="eastAsia" w:ascii="宋体" w:hAnsi="宋体"/>
          <w:sz w:val="24"/>
        </w:rPr>
        <w:t>法定代表人或授权委托人（签字或盖章）：</w:t>
      </w:r>
      <w:r>
        <w:rPr>
          <w:rFonts w:hint="eastAsia" w:ascii="宋体" w:hAnsi="宋体"/>
          <w:sz w:val="24"/>
          <w:u w:val="single"/>
        </w:rPr>
        <w:t xml:space="preserve">                          </w:t>
      </w:r>
      <w:r>
        <w:rPr>
          <w:rFonts w:hint="eastAsia" w:ascii="宋体" w:hAnsi="Courier New"/>
          <w:color w:val="000000"/>
          <w:szCs w:val="21"/>
        </w:rPr>
        <w:t xml:space="preserve">                                 </w:t>
      </w:r>
    </w:p>
    <w:p>
      <w:pPr>
        <w:pStyle w:val="23"/>
        <w:ind w:left="420"/>
        <w:rPr>
          <w:rFonts w:ascii="黑体" w:eastAsia="黑体"/>
          <w:color w:val="000000"/>
          <w:sz w:val="24"/>
        </w:rPr>
      </w:pPr>
    </w:p>
    <w:p>
      <w:pPr>
        <w:pStyle w:val="23"/>
        <w:spacing w:line="520" w:lineRule="exact"/>
        <w:ind w:left="480" w:hanging="480" w:hangingChars="200"/>
        <w:rPr>
          <w:color w:val="000000"/>
          <w:sz w:val="24"/>
          <w:szCs w:val="24"/>
        </w:rPr>
      </w:pPr>
      <w:r>
        <w:rPr>
          <w:rFonts w:hint="eastAsia"/>
          <w:color w:val="000000"/>
          <w:sz w:val="24"/>
          <w:szCs w:val="24"/>
        </w:rPr>
        <w:t>注：如本表未填写，则视为供应商响应本项目所有商务条款。</w:t>
      </w:r>
    </w:p>
    <w:p>
      <w:pPr>
        <w:pStyle w:val="4"/>
        <w:spacing w:before="0" w:after="0" w:line="360" w:lineRule="auto"/>
        <w:rPr>
          <w:rFonts w:ascii="宋体" w:hAnsi="宋体"/>
          <w:b w:val="0"/>
          <w:bCs w:val="0"/>
          <w:sz w:val="24"/>
          <w:szCs w:val="21"/>
        </w:rPr>
        <w:sectPr>
          <w:footnotePr>
            <w:numRestart w:val="eachPage"/>
          </w:footnotePr>
          <w:pgSz w:w="11906" w:h="16838"/>
          <w:pgMar w:top="1418" w:right="1418" w:bottom="1418" w:left="1418" w:header="851" w:footer="992" w:gutter="0"/>
          <w:cols w:space="720" w:num="1"/>
        </w:sectPr>
      </w:pPr>
    </w:p>
    <w:p>
      <w:pPr>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宋体" w:hAnsi="宋体" w:cs="宋体"/>
          <w:b/>
          <w:sz w:val="24"/>
        </w:rPr>
      </w:pPr>
      <w:r>
        <w:rPr>
          <w:rFonts w:hint="eastAsia" w:ascii="宋体" w:hAnsi="宋体"/>
          <w:b/>
          <w:bCs/>
          <w:sz w:val="24"/>
          <w:szCs w:val="21"/>
        </w:rPr>
        <w:t>4、会</w:t>
      </w:r>
      <w:r>
        <w:rPr>
          <w:rFonts w:hint="eastAsia" w:ascii="宋体" w:hAnsi="宋体" w:cs="宋体"/>
          <w:b/>
          <w:sz w:val="24"/>
        </w:rPr>
        <w:t>计师事务所出具的2021年度-2023年度财务审计报告或银行出具的资信证明（须加盖本单位公章）</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说明：</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1）、供应商在响应文件中，应提供会计师事务所出具的本单位2021年度-2023年度财务审计报告复印件（成立一年内的公司可提供验资证明复印件加盖公章），包括资产负债表、现金流量表、利润表（或损益表），并加盖本单位公章。</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2）、如供应商无法提供某年度财务审计报告，则需2023年9月至2023年11月或至成立之日起至2023年12月开具资信证明的复印件加盖公章</w:t>
      </w:r>
      <w:r>
        <w:rPr>
          <w:rFonts w:hint="eastAsia" w:hAnsi="宋体"/>
          <w:sz w:val="24"/>
        </w:rPr>
        <w:t>（银行资信证明可不受收受人和项目的限制，</w:t>
      </w:r>
      <w:r>
        <w:rPr>
          <w:rFonts w:hint="eastAsia" w:hAnsi="宋体"/>
          <w:b/>
          <w:sz w:val="24"/>
        </w:rPr>
        <w:t>开具银行明确写明复印无效的，须提交原件</w:t>
      </w:r>
      <w:r>
        <w:rPr>
          <w:rFonts w:hint="eastAsia" w:hAnsi="宋体"/>
          <w:sz w:val="24"/>
        </w:rPr>
        <w:t>，且原件需装订在投标文件正本中）</w:t>
      </w:r>
      <w:r>
        <w:rPr>
          <w:rFonts w:hint="eastAsia" w:ascii="宋体" w:hAnsi="宋体"/>
          <w:sz w:val="24"/>
        </w:rPr>
        <w:t>。若提供的是复印件，采购单位保留审核原件的权利。</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3）、银行资信证明应能说明该供应商与银行之间业务往来正常，企业信誉良好等。银行出具的存款证明不能替代银行资信证明。</w:t>
      </w:r>
    </w:p>
    <w:p>
      <w:pPr>
        <w:pStyle w:val="4"/>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ascii="宋体" w:hAnsi="宋体"/>
          <w:b w:val="0"/>
          <w:bCs w:val="0"/>
          <w:sz w:val="24"/>
          <w:szCs w:val="21"/>
        </w:rPr>
        <w:sectPr>
          <w:footnotePr>
            <w:numRestart w:val="eachPage"/>
          </w:footnotePr>
          <w:pgSz w:w="11906" w:h="16838"/>
          <w:pgMar w:top="1418" w:right="1418" w:bottom="1418" w:left="1418" w:header="851" w:footer="992" w:gutter="0"/>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sz w:val="24"/>
        </w:rPr>
      </w:pPr>
      <w:r>
        <w:rPr>
          <w:rFonts w:hint="eastAsia" w:ascii="宋体" w:hAnsi="宋体" w:cs="宋体"/>
          <w:b/>
          <w:sz w:val="24"/>
        </w:rPr>
        <w:t>5、供应商近期纳税记录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1）逐月缴纳税收的，须提供参加本次磋商活动前近半年（2023年10月-2024年3月或至成立之日起至2024年3月）内任意一个月的税收缴纳凭据扫描件或复印件，应字迹清晰可辨；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2）逐年缴纳税收的，须提供参加本次磋商活动上年度的纳税缴纳有效凭据的扫描件或复印件，应字迹清晰可辨；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3）依法免税的供应商，须提供证明可依法免税的相应证明文件的扫描件或复印件，应字迹清晰可辨。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sz w:val="24"/>
        </w:rPr>
      </w:pPr>
      <w:r>
        <w:rPr>
          <w:rFonts w:hint="eastAsia" w:ascii="宋体" w:hAnsi="宋体"/>
          <w:sz w:val="24"/>
        </w:rPr>
        <w:br w:type="page"/>
      </w:r>
      <w:r>
        <w:rPr>
          <w:rFonts w:hint="eastAsia" w:ascii="宋体" w:hAnsi="宋体" w:cs="宋体"/>
          <w:b/>
          <w:sz w:val="24"/>
        </w:rPr>
        <w:t>6、供应商缴纳社会保险记录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1）供应商逐月缴纳社会保障资金的，须提供参加本次磋商活动前近半年（2023年10月-2024年3月或至成立之日起至2024年3月）的缴纳社会保障资金的入账票据凭证扫描件或复印件，应字迹清晰可辨；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2）供应商逐年缴纳社会保障资金的，须提供参加本次磋商活动上年度缴纳社会保障资金的入账票据凭证扫描件或复印件，应字迹清晰可辨。</w:t>
      </w:r>
    </w:p>
    <w:p>
      <w:pPr>
        <w:pStyle w:val="4"/>
        <w:spacing w:before="0" w:after="0" w:line="360" w:lineRule="auto"/>
        <w:ind w:firstLine="1205"/>
        <w:rPr>
          <w:rFonts w:ascii="宋体" w:hAnsi="宋体"/>
          <w:sz w:val="24"/>
          <w:szCs w:val="21"/>
          <w:lang w:val="en-US"/>
        </w:rPr>
        <w:sectPr>
          <w:footnotePr>
            <w:numRestart w:val="eachPage"/>
          </w:footnotePr>
          <w:pgSz w:w="11906" w:h="16838"/>
          <w:pgMar w:top="1418" w:right="1418" w:bottom="1418" w:left="1418" w:header="851" w:footer="992" w:gutter="0"/>
          <w:cols w:space="720" w:num="1"/>
        </w:sectPr>
      </w:pPr>
    </w:p>
    <w:p>
      <w:pPr>
        <w:pStyle w:val="4"/>
        <w:spacing w:before="0" w:after="0" w:line="360" w:lineRule="auto"/>
        <w:rPr>
          <w:rFonts w:ascii="宋体" w:hAnsi="宋体"/>
          <w:sz w:val="24"/>
          <w:szCs w:val="21"/>
        </w:rPr>
      </w:pPr>
      <w:r>
        <w:rPr>
          <w:rFonts w:hint="eastAsia" w:ascii="宋体" w:hAnsi="宋体"/>
          <w:sz w:val="24"/>
          <w:szCs w:val="21"/>
          <w:lang w:val="en-US"/>
        </w:rPr>
        <w:t>7</w:t>
      </w:r>
      <w:r>
        <w:rPr>
          <w:rFonts w:hint="eastAsia" w:ascii="宋体" w:hAnsi="宋体"/>
          <w:sz w:val="24"/>
          <w:szCs w:val="21"/>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sz w:val="24"/>
        </w:rPr>
      </w:pPr>
      <w:r>
        <w:rPr>
          <w:rFonts w:hint="eastAsia" w:ascii="宋体" w:hAnsi="宋体" w:cs="宋体"/>
          <w:b/>
          <w:sz w:val="24"/>
        </w:rPr>
        <w:t>7.1、供应商资格声明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sz w:val="24"/>
        </w:rPr>
      </w:pPr>
      <w:r>
        <w:rPr>
          <w:rFonts w:hint="eastAsia" w:ascii="宋体" w:hAnsi="宋体"/>
          <w:sz w:val="24"/>
        </w:rPr>
        <w:t>供应商资格声明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（1）供应商名称：</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（2）地址：</w:t>
      </w:r>
      <w:r>
        <w:rPr>
          <w:rFonts w:hint="eastAsia" w:ascii="宋体" w:hAnsi="宋体"/>
          <w:sz w:val="24"/>
          <w:u w:val="single"/>
        </w:rPr>
        <w:t xml:space="preserve">                         </w:t>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（3）成立和/或注册日期：</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（4）企业性质：</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（5）法定代表人：</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（6）注册资本：</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2、企业基本情况介绍（限于1500字内）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兹证明上述声明是真实的、正确的，并提供了全部能提供的资料和数据，我们同意遵照贵方要求出示有关证明文件。</w:t>
      </w:r>
    </w:p>
    <w:p>
      <w:pPr>
        <w:widowControl/>
        <w:ind w:firstLine="1200"/>
        <w:jc w:val="left"/>
        <w:rPr>
          <w:rFonts w:ascii="宋体" w:hAnsi="宋体" w:cs="宋体"/>
          <w:sz w:val="24"/>
        </w:rPr>
      </w:pPr>
    </w:p>
    <w:p>
      <w:pPr>
        <w:tabs>
          <w:tab w:val="left" w:pos="7635"/>
        </w:tabs>
        <w:spacing w:line="360" w:lineRule="auto"/>
        <w:ind w:right="-20" w:firstLine="120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tabs>
          <w:tab w:val="left" w:pos="1680"/>
        </w:tabs>
        <w:spacing w:line="360" w:lineRule="auto"/>
        <w:ind w:firstLine="1200"/>
        <w:rPr>
          <w:rFonts w:ascii="宋体" w:hAnsi="宋体"/>
          <w:color w:val="000000"/>
          <w:sz w:val="24"/>
        </w:rPr>
      </w:pPr>
      <w:r>
        <w:rPr>
          <w:rFonts w:hint="eastAsia" w:ascii="宋体" w:hAnsi="宋体"/>
          <w:sz w:val="24"/>
        </w:rPr>
        <w:t>法定代表人或授权委托人（签字或盖章）：</w:t>
      </w:r>
      <w:r>
        <w:rPr>
          <w:rFonts w:hint="eastAsia" w:ascii="宋体" w:hAnsi="宋体"/>
          <w:sz w:val="24"/>
          <w:u w:val="single"/>
        </w:rPr>
        <w:t xml:space="preserve">                          </w:t>
      </w:r>
    </w:p>
    <w:p>
      <w:pPr>
        <w:spacing w:line="360" w:lineRule="auto"/>
        <w:ind w:firstLine="1200"/>
        <w:rPr>
          <w:rFonts w:ascii="宋体" w:hAnsi="宋体"/>
          <w:color w:val="000000"/>
          <w:sz w:val="24"/>
        </w:rPr>
      </w:pPr>
      <w:r>
        <w:rPr>
          <w:rFonts w:hint="eastAsia" w:ascii="宋体" w:hAnsi="宋体"/>
          <w:color w:val="000000"/>
          <w:sz w:val="24"/>
        </w:rPr>
        <w:t xml:space="preserve">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ind w:firstLine="1200"/>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b/>
          <w:sz w:val="24"/>
        </w:rPr>
      </w:pPr>
      <w:r>
        <w:rPr>
          <w:rFonts w:hint="eastAsia" w:ascii="宋体" w:hAnsi="宋体"/>
          <w:color w:val="000000"/>
          <w:sz w:val="24"/>
        </w:rPr>
        <w:br w:type="page"/>
      </w:r>
      <w:r>
        <w:rPr>
          <w:rFonts w:hint="eastAsia" w:ascii="宋体" w:hAnsi="宋体" w:cs="宋体"/>
          <w:b/>
          <w:sz w:val="24"/>
        </w:rPr>
        <w:t>7.2、营业执照副本复印件（复印件加盖供应商公章）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宋体" w:hAnsi="宋体" w:cs="宋体"/>
          <w:b/>
          <w:sz w:val="24"/>
        </w:rPr>
      </w:pPr>
      <w:r>
        <w:rPr>
          <w:rFonts w:hint="eastAsia" w:ascii="宋体" w:hAnsi="宋体" w:cs="宋体"/>
          <w:b/>
          <w:sz w:val="24"/>
        </w:rPr>
        <w:t>7.3、开户证明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宋体" w:hAnsi="宋体" w:cs="宋体"/>
          <w:b/>
          <w:sz w:val="24"/>
        </w:rPr>
      </w:pPr>
      <w:r>
        <w:rPr>
          <w:rFonts w:hint="eastAsia" w:ascii="宋体" w:hAnsi="宋体" w:cs="宋体"/>
          <w:b/>
          <w:sz w:val="24"/>
        </w:rPr>
        <w:t>7.4、维护保养资质相关证书（复印件加盖供应商公章）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b/>
          <w:sz w:val="24"/>
        </w:rPr>
      </w:pPr>
      <w:r>
        <w:rPr>
          <w:rFonts w:hint="eastAsia" w:ascii="宋体" w:hAnsi="宋体"/>
          <w:sz w:val="24"/>
        </w:rPr>
        <w:br w:type="page"/>
      </w:r>
      <w:r>
        <w:rPr>
          <w:rFonts w:hint="eastAsia" w:ascii="宋体" w:hAnsi="宋体" w:cs="宋体"/>
          <w:b/>
          <w:sz w:val="24"/>
        </w:rPr>
        <w:t>7.5具有履行合同所必需的设备和专业技术能力的声明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宋体" w:hAnsi="宋体" w:cs="宋体"/>
          <w:b/>
          <w:sz w:val="24"/>
        </w:rPr>
      </w:pPr>
      <w:r>
        <w:rPr>
          <w:rFonts w:hint="eastAsia" w:ascii="宋体" w:hAnsi="宋体" w:cs="宋体"/>
          <w:b/>
          <w:sz w:val="24"/>
        </w:rPr>
        <w:t>声   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致：</w:t>
      </w:r>
      <w:r>
        <w:rPr>
          <w:rFonts w:hint="eastAsia" w:ascii="宋体" w:hAnsi="宋体"/>
          <w:sz w:val="24"/>
          <w:u w:val="singl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我公司参加竞争性磋商活动近三年（2021年1月1日至今）（成立不足三年的将“近三年”改为“自成立之日起至今”）内，具有履行合同所必需的设备和专业技术能力。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特此声明。</w:t>
      </w:r>
    </w:p>
    <w:p>
      <w:pPr>
        <w:spacing w:line="360" w:lineRule="auto"/>
        <w:ind w:firstLine="1200"/>
        <w:rPr>
          <w:rFonts w:ascii="宋体" w:hAnsi="宋体"/>
          <w:sz w:val="24"/>
        </w:rPr>
      </w:pPr>
    </w:p>
    <w:p>
      <w:pPr>
        <w:spacing w:line="360" w:lineRule="auto"/>
        <w:ind w:firstLine="1200"/>
        <w:rPr>
          <w:rFonts w:ascii="宋体" w:hAnsi="宋体"/>
          <w:sz w:val="24"/>
        </w:rPr>
      </w:pPr>
    </w:p>
    <w:p>
      <w:pPr>
        <w:spacing w:line="360" w:lineRule="auto"/>
        <w:ind w:firstLine="1200"/>
        <w:rPr>
          <w:rFonts w:ascii="宋体" w:hAnsi="宋体"/>
          <w:sz w:val="24"/>
        </w:rPr>
      </w:pPr>
    </w:p>
    <w:p>
      <w:pPr>
        <w:spacing w:line="360" w:lineRule="auto"/>
        <w:ind w:firstLine="1200"/>
        <w:rPr>
          <w:rFonts w:ascii="宋体" w:hAnsi="宋体"/>
          <w:sz w:val="24"/>
        </w:rPr>
      </w:pPr>
    </w:p>
    <w:p>
      <w:pPr>
        <w:spacing w:line="360" w:lineRule="auto"/>
        <w:ind w:firstLine="1200"/>
        <w:rPr>
          <w:rFonts w:ascii="宋体" w:hAnsi="宋体"/>
          <w:sz w:val="24"/>
        </w:rPr>
      </w:pPr>
    </w:p>
    <w:p>
      <w:pPr>
        <w:tabs>
          <w:tab w:val="left" w:pos="7635"/>
        </w:tabs>
        <w:spacing w:line="360" w:lineRule="auto"/>
        <w:ind w:right="-20" w:firstLine="120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tabs>
          <w:tab w:val="left" w:pos="1680"/>
        </w:tabs>
        <w:spacing w:line="360" w:lineRule="auto"/>
        <w:ind w:firstLine="1200"/>
        <w:rPr>
          <w:rFonts w:ascii="宋体" w:hAnsi="宋体"/>
          <w:color w:val="000000"/>
          <w:sz w:val="24"/>
        </w:rPr>
      </w:pPr>
      <w:r>
        <w:rPr>
          <w:rFonts w:hint="eastAsia" w:ascii="宋体" w:hAnsi="宋体"/>
          <w:sz w:val="24"/>
        </w:rPr>
        <w:t>法定代表人或授权委托人（签字或盖章）：</w:t>
      </w:r>
      <w:r>
        <w:rPr>
          <w:rFonts w:hint="eastAsia" w:ascii="宋体" w:hAnsi="宋体"/>
          <w:sz w:val="24"/>
          <w:u w:val="single"/>
        </w:rPr>
        <w:t xml:space="preserve">                          </w:t>
      </w:r>
    </w:p>
    <w:p>
      <w:pPr>
        <w:spacing w:line="360" w:lineRule="auto"/>
        <w:ind w:firstLine="1200"/>
        <w:rPr>
          <w:rFonts w:ascii="宋体" w:hAnsi="宋体"/>
          <w:sz w:val="24"/>
        </w:rPr>
      </w:pPr>
      <w:r>
        <w:rPr>
          <w:rFonts w:hint="eastAsia" w:ascii="宋体" w:hAnsi="宋体"/>
          <w:color w:val="000000"/>
          <w:sz w:val="24"/>
        </w:rPr>
        <w:t xml:space="preserve">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1200"/>
        <w:rPr>
          <w:rFonts w:ascii="宋体" w:hAnsi="宋体"/>
          <w:sz w:val="24"/>
        </w:rPr>
      </w:pPr>
      <w:r>
        <w:rPr>
          <w:rFonts w:hint="eastAsia" w:ascii="宋体" w:hAnsi="宋体"/>
          <w:sz w:val="24"/>
        </w:rPr>
        <w:br w:type="page"/>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sz w:val="24"/>
        </w:rPr>
      </w:pPr>
      <w:r>
        <w:rPr>
          <w:rFonts w:hint="eastAsia" w:ascii="宋体" w:hAnsi="宋体" w:cs="宋体"/>
          <w:b/>
          <w:sz w:val="24"/>
        </w:rPr>
        <w:t>7.6参加竞争性磋商活动近三年内，在经营活动中没有重大违法记录声明</w:t>
      </w:r>
    </w:p>
    <w:p>
      <w:pPr>
        <w:spacing w:line="360" w:lineRule="auto"/>
        <w:ind w:firstLine="1205"/>
        <w:rPr>
          <w:rFonts w:ascii="宋体" w:hAnsi="宋体"/>
          <w:sz w:val="24"/>
        </w:rPr>
      </w:pPr>
      <w:r>
        <w:rPr>
          <w:rFonts w:hint="eastAsia" w:ascii="宋体" w:hAnsi="宋体" w:cs="宋体"/>
          <w:b/>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rPr>
      </w:pPr>
      <w:r>
        <w:rPr>
          <w:rFonts w:hint="eastAsia" w:ascii="宋体" w:hAnsi="宋体"/>
          <w:sz w:val="24"/>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rPr>
      </w:pPr>
      <w:r>
        <w:rPr>
          <w:rFonts w:hint="eastAsia" w:ascii="宋体" w:hAnsi="宋体"/>
          <w:sz w:val="24"/>
        </w:rPr>
        <w:t>我公司参加竞争性磋商活动近三年（2021年1月1日至响应文件递交截止之日止）（成立不足三年的将“近三年”改为“自成立之日起至响应文件递交截止之日止”）内，在经营活动中无重大违法记录。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rPr>
      </w:pPr>
      <w:r>
        <w:rPr>
          <w:rFonts w:hint="eastAsia" w:ascii="宋体" w:hAnsi="宋体"/>
          <w:sz w:val="24"/>
        </w:rPr>
        <w:t>特此声明。</w:t>
      </w:r>
    </w:p>
    <w:p>
      <w:pPr>
        <w:spacing w:line="360" w:lineRule="auto"/>
        <w:ind w:firstLine="1200"/>
        <w:rPr>
          <w:rFonts w:ascii="宋体" w:hAnsi="宋体"/>
          <w:sz w:val="24"/>
        </w:rPr>
      </w:pPr>
    </w:p>
    <w:p>
      <w:pPr>
        <w:spacing w:line="360" w:lineRule="auto"/>
        <w:ind w:firstLine="1200"/>
        <w:rPr>
          <w:rFonts w:ascii="宋体" w:hAnsi="宋体"/>
          <w:sz w:val="24"/>
        </w:rPr>
      </w:pPr>
    </w:p>
    <w:p>
      <w:pPr>
        <w:spacing w:line="360" w:lineRule="auto"/>
        <w:ind w:firstLine="1200"/>
        <w:rPr>
          <w:rFonts w:ascii="宋体" w:hAnsi="宋体"/>
          <w:sz w:val="24"/>
        </w:rPr>
      </w:pPr>
    </w:p>
    <w:p>
      <w:pPr>
        <w:spacing w:line="360" w:lineRule="auto"/>
        <w:ind w:firstLine="1200"/>
        <w:rPr>
          <w:rFonts w:ascii="宋体" w:hAnsi="宋体"/>
          <w:sz w:val="24"/>
        </w:rPr>
      </w:pPr>
    </w:p>
    <w:p>
      <w:pPr>
        <w:spacing w:line="360" w:lineRule="auto"/>
        <w:ind w:firstLine="1200"/>
        <w:rPr>
          <w:rFonts w:ascii="宋体" w:hAnsi="宋体"/>
          <w:sz w:val="24"/>
        </w:rPr>
      </w:pPr>
    </w:p>
    <w:p>
      <w:pPr>
        <w:tabs>
          <w:tab w:val="left" w:pos="7635"/>
        </w:tabs>
        <w:spacing w:line="360" w:lineRule="auto"/>
        <w:ind w:right="-20" w:firstLine="120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tabs>
          <w:tab w:val="left" w:pos="1680"/>
        </w:tabs>
        <w:spacing w:line="360" w:lineRule="auto"/>
        <w:ind w:firstLine="1200"/>
        <w:rPr>
          <w:rFonts w:ascii="宋体" w:hAnsi="宋体"/>
          <w:color w:val="000000"/>
          <w:sz w:val="24"/>
        </w:rPr>
      </w:pPr>
      <w:r>
        <w:rPr>
          <w:rFonts w:hint="eastAsia" w:ascii="宋体" w:hAnsi="宋体"/>
          <w:sz w:val="24"/>
        </w:rPr>
        <w:t>法定代表人或授权委托人（签字或盖章）：</w:t>
      </w:r>
      <w:r>
        <w:rPr>
          <w:rFonts w:hint="eastAsia" w:ascii="宋体" w:hAnsi="宋体"/>
          <w:sz w:val="24"/>
          <w:u w:val="single"/>
        </w:rPr>
        <w:t xml:space="preserve">                          </w:t>
      </w:r>
    </w:p>
    <w:p>
      <w:pPr>
        <w:spacing w:line="360" w:lineRule="auto"/>
        <w:ind w:firstLine="1200"/>
        <w:rPr>
          <w:rFonts w:ascii="宋体" w:hAnsi="宋体"/>
          <w:color w:val="000000"/>
          <w:sz w:val="24"/>
        </w:rPr>
      </w:pPr>
      <w:r>
        <w:rPr>
          <w:rFonts w:hint="eastAsia" w:ascii="宋体" w:hAnsi="宋体"/>
          <w:color w:val="000000"/>
          <w:sz w:val="24"/>
        </w:rPr>
        <w:t xml:space="preserve">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sz w:val="24"/>
        </w:rPr>
      </w:pPr>
      <w:r>
        <w:rPr>
          <w:color w:val="000000"/>
        </w:rPr>
        <w:br w:type="page"/>
      </w:r>
      <w:r>
        <w:rPr>
          <w:rFonts w:hint="eastAsia"/>
          <w:b/>
          <w:sz w:val="24"/>
        </w:rPr>
        <w:t>7</w:t>
      </w:r>
      <w:r>
        <w:rPr>
          <w:b/>
          <w:sz w:val="24"/>
        </w:rPr>
        <w:t>.</w:t>
      </w:r>
      <w:r>
        <w:rPr>
          <w:rFonts w:hint="eastAsia"/>
          <w:b/>
          <w:sz w:val="24"/>
        </w:rPr>
        <w:t>7履约及经营状况承诺书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致：</w:t>
      </w:r>
      <w:r>
        <w:rPr>
          <w:rFonts w:hint="eastAsia" w:ascii="宋体" w:hAnsi="宋体"/>
          <w:sz w:val="24"/>
          <w:u w:val="singl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我公司没有处于被责令停业，投标资格未被取消，财产未被接管、冻结，破产状态；在以往的竞争性磋商活动中无不良行为和记录，在最近三年内（2021年1月1日至响应文件递交截止之日止）（成立不足三年的将“近三年”改为“自成立之日起至响应文件递交截止之日止”）没有骗取成交和严重违约引起的合同中止、纠纷、争议、仲裁和诉讼记录及重大安全质量事故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特此承诺！</w:t>
      </w:r>
    </w:p>
    <w:p>
      <w:pPr>
        <w:spacing w:line="360" w:lineRule="auto"/>
        <w:ind w:firstLine="480" w:firstLineChars="200"/>
        <w:jc w:val="left"/>
        <w:rPr>
          <w:rFonts w:ascii="宋体" w:hAnsi="宋体" w:cs="华文中宋"/>
          <w:sz w:val="24"/>
        </w:rPr>
      </w:pPr>
    </w:p>
    <w:p>
      <w:pPr>
        <w:spacing w:line="360" w:lineRule="auto"/>
        <w:ind w:firstLine="480" w:firstLineChars="200"/>
        <w:jc w:val="left"/>
        <w:rPr>
          <w:rFonts w:ascii="宋体" w:hAnsi="宋体" w:cs="华文中宋"/>
          <w:sz w:val="24"/>
        </w:rPr>
      </w:pPr>
    </w:p>
    <w:p>
      <w:pPr>
        <w:tabs>
          <w:tab w:val="left" w:pos="7635"/>
        </w:tabs>
        <w:spacing w:line="360" w:lineRule="auto"/>
        <w:ind w:right="-21" w:rightChars="-10" w:firstLine="960" w:firstLineChars="40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tabs>
          <w:tab w:val="left" w:pos="1680"/>
        </w:tabs>
        <w:spacing w:line="360" w:lineRule="auto"/>
        <w:ind w:firstLine="960" w:firstLineChars="400"/>
        <w:rPr>
          <w:rFonts w:ascii="宋体" w:hAnsi="宋体"/>
          <w:color w:val="000000"/>
          <w:sz w:val="24"/>
        </w:rPr>
      </w:pPr>
      <w:r>
        <w:rPr>
          <w:rFonts w:hint="eastAsia" w:ascii="宋体" w:hAnsi="宋体"/>
          <w:sz w:val="24"/>
        </w:rPr>
        <w:t>法定代表人或授权委托人（签字或盖章）：</w:t>
      </w:r>
      <w:r>
        <w:rPr>
          <w:rFonts w:hint="eastAsia" w:ascii="宋体" w:hAnsi="宋体"/>
          <w:sz w:val="24"/>
          <w:u w:val="single"/>
        </w:rPr>
        <w:t xml:space="preserve">                   </w:t>
      </w:r>
    </w:p>
    <w:p>
      <w:pPr>
        <w:spacing w:line="360" w:lineRule="auto"/>
        <w:ind w:firstLine="960" w:firstLineChars="400"/>
        <w:rPr>
          <w:rFonts w:ascii="宋体" w:hAnsi="宋体"/>
          <w:color w:val="000000"/>
          <w:sz w:val="24"/>
        </w:rPr>
      </w:pPr>
      <w:r>
        <w:rPr>
          <w:rFonts w:hint="eastAsia" w:ascii="宋体" w:hAnsi="宋体"/>
          <w:color w:val="000000"/>
          <w:sz w:val="24"/>
        </w:rPr>
        <w:t xml:space="preserve">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rPr>
          <w:rFonts w:ascii="宋体" w:hAnsi="宋体"/>
          <w:sz w:val="24"/>
        </w:rPr>
      </w:pPr>
      <w:r>
        <w:br w:type="page"/>
      </w:r>
    </w:p>
    <w:p>
      <w:pPr>
        <w:pStyle w:val="4"/>
        <w:spacing w:before="0" w:after="0" w:line="360" w:lineRule="auto"/>
        <w:ind w:firstLine="1405"/>
        <w:jc w:val="center"/>
        <w:rPr>
          <w:rFonts w:ascii="宋体" w:hAnsi="宋体"/>
          <w:sz w:val="28"/>
          <w:szCs w:val="28"/>
          <w:lang w:val="en-US"/>
        </w:rPr>
      </w:pPr>
      <w:bookmarkStart w:id="189" w:name="_Toc20230582"/>
      <w:r>
        <w:rPr>
          <w:rFonts w:hint="eastAsia" w:ascii="宋体" w:hAnsi="宋体"/>
          <w:sz w:val="28"/>
          <w:szCs w:val="28"/>
          <w:lang w:val="en-US"/>
        </w:rPr>
        <w:t>三、商务、技术部分</w:t>
      </w:r>
    </w:p>
    <w:bookmarkEnd w:id="189"/>
    <w:p>
      <w:pPr>
        <w:pStyle w:val="4"/>
        <w:spacing w:before="0" w:after="0" w:line="360" w:lineRule="auto"/>
        <w:ind w:firstLine="1205"/>
        <w:rPr>
          <w:rFonts w:hint="eastAsia" w:ascii="宋体" w:hAnsi="宋体"/>
          <w:sz w:val="24"/>
          <w:szCs w:val="21"/>
        </w:rPr>
      </w:pPr>
      <w:r>
        <w:rPr>
          <w:rFonts w:hint="eastAsia" w:ascii="宋体" w:hAnsi="宋体"/>
          <w:sz w:val="24"/>
          <w:szCs w:val="21"/>
        </w:rPr>
        <w:t>1、管理体系证书</w:t>
      </w:r>
    </w:p>
    <w:p>
      <w:pPr>
        <w:pStyle w:val="4"/>
        <w:spacing w:before="0" w:after="0" w:line="360" w:lineRule="auto"/>
        <w:ind w:firstLine="1205"/>
        <w:rPr>
          <w:rFonts w:hint="eastAsia" w:ascii="宋体" w:hAnsi="宋体"/>
          <w:sz w:val="24"/>
          <w:szCs w:val="21"/>
        </w:rPr>
      </w:pPr>
      <w:r>
        <w:rPr>
          <w:rFonts w:hint="eastAsia" w:ascii="宋体" w:hAnsi="宋体"/>
          <w:sz w:val="24"/>
          <w:szCs w:val="21"/>
        </w:rPr>
        <w:t>2、近三年同类项目的业绩证明</w:t>
      </w:r>
    </w:p>
    <w:p>
      <w:pPr>
        <w:spacing w:line="360" w:lineRule="auto"/>
        <w:jc w:val="center"/>
        <w:rPr>
          <w:rFonts w:ascii="宋体" w:hAnsi="宋体"/>
          <w:b w:val="0"/>
          <w:bCs/>
          <w:sz w:val="24"/>
        </w:rPr>
      </w:pPr>
      <w:r>
        <w:rPr>
          <w:rFonts w:hint="eastAsia" w:ascii="宋体" w:hAnsi="宋体"/>
          <w:b w:val="0"/>
          <w:bCs/>
          <w:sz w:val="24"/>
        </w:rPr>
        <w:t>近三年同类项目业绩证明一览表</w:t>
      </w:r>
    </w:p>
    <w:tbl>
      <w:tblPr>
        <w:tblStyle w:val="41"/>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89"/>
        <w:gridCol w:w="1912"/>
        <w:gridCol w:w="1843"/>
        <w:gridCol w:w="122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2"/>
              <w:ind w:left="0" w:leftChars="0" w:firstLine="0" w:firstLineChars="0"/>
              <w:jc w:val="both"/>
              <w:rPr>
                <w:rFonts w:hAnsi="Times New Roman"/>
              </w:rPr>
            </w:pPr>
            <w:r>
              <w:rPr>
                <w:rFonts w:hint="eastAsia"/>
              </w:rPr>
              <w:t>序号</w:t>
            </w:r>
          </w:p>
        </w:tc>
        <w:tc>
          <w:tcPr>
            <w:tcW w:w="1190" w:type="dxa"/>
            <w:tcBorders>
              <w:top w:val="single" w:color="auto" w:sz="4" w:space="0"/>
              <w:left w:val="single" w:color="auto" w:sz="4" w:space="0"/>
              <w:bottom w:val="single" w:color="auto" w:sz="4" w:space="0"/>
              <w:right w:val="single" w:color="auto" w:sz="4" w:space="0"/>
            </w:tcBorders>
            <w:vAlign w:val="center"/>
          </w:tcPr>
          <w:p>
            <w:pPr>
              <w:pStyle w:val="12"/>
              <w:jc w:val="both"/>
            </w:pPr>
            <w:r>
              <w:rPr>
                <w:rFonts w:hint="eastAsia"/>
              </w:rPr>
              <w:t>时间</w:t>
            </w:r>
          </w:p>
        </w:tc>
        <w:tc>
          <w:tcPr>
            <w:tcW w:w="1912" w:type="dxa"/>
            <w:tcBorders>
              <w:top w:val="single" w:color="auto" w:sz="4" w:space="0"/>
              <w:left w:val="single" w:color="auto" w:sz="4" w:space="0"/>
              <w:bottom w:val="single" w:color="auto" w:sz="4" w:space="0"/>
              <w:right w:val="single" w:color="auto" w:sz="4" w:space="0"/>
            </w:tcBorders>
            <w:vAlign w:val="center"/>
          </w:tcPr>
          <w:p>
            <w:pPr>
              <w:pStyle w:val="12"/>
              <w:jc w:val="both"/>
            </w:pPr>
            <w:r>
              <w:rPr>
                <w:rFonts w:hint="eastAsia"/>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12"/>
              <w:ind w:left="0" w:leftChars="0" w:firstLine="0" w:firstLineChars="0"/>
              <w:jc w:val="both"/>
            </w:pPr>
            <w:r>
              <w:rPr>
                <w:rFonts w:hint="eastAsia"/>
              </w:rPr>
              <w:t>合同金额</w:t>
            </w:r>
            <w:r>
              <w:rPr>
                <w:rFonts w:hint="eastAsia"/>
              </w:rPr>
              <w:br w:type="textWrapping"/>
            </w:r>
            <w:r>
              <w:rPr>
                <w:rFonts w:hint="eastAsia"/>
              </w:rPr>
              <w:t>（万元）</w:t>
            </w:r>
          </w:p>
        </w:tc>
        <w:tc>
          <w:tcPr>
            <w:tcW w:w="1226" w:type="dxa"/>
            <w:tcBorders>
              <w:top w:val="single" w:color="auto" w:sz="4" w:space="0"/>
              <w:left w:val="single" w:color="auto" w:sz="4" w:space="0"/>
              <w:bottom w:val="single" w:color="auto" w:sz="4" w:space="0"/>
              <w:right w:val="single" w:color="auto" w:sz="4" w:space="0"/>
            </w:tcBorders>
            <w:vAlign w:val="center"/>
          </w:tcPr>
          <w:p>
            <w:pPr>
              <w:pStyle w:val="12"/>
              <w:ind w:left="0" w:leftChars="0" w:firstLine="0" w:firstLineChars="0"/>
              <w:jc w:val="both"/>
            </w:pPr>
            <w:r>
              <w:rPr>
                <w:rFonts w:hint="eastAsia"/>
                <w:szCs w:val="24"/>
              </w:rPr>
              <w:t>委托单位名称</w:t>
            </w:r>
          </w:p>
        </w:tc>
        <w:tc>
          <w:tcPr>
            <w:tcW w:w="1259" w:type="dxa"/>
            <w:tcBorders>
              <w:top w:val="single" w:color="auto" w:sz="4" w:space="0"/>
              <w:left w:val="single" w:color="auto" w:sz="4" w:space="0"/>
              <w:bottom w:val="single" w:color="auto" w:sz="4" w:space="0"/>
              <w:right w:val="single" w:color="auto" w:sz="4" w:space="0"/>
            </w:tcBorders>
            <w:vAlign w:val="center"/>
          </w:tcPr>
          <w:p>
            <w:pPr>
              <w:pStyle w:val="12"/>
              <w:ind w:left="0" w:leftChars="0" w:firstLine="0" w:firstLineChars="0"/>
              <w:jc w:val="both"/>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59" w:type="dxa"/>
            <w:tcBorders>
              <w:top w:val="single" w:color="auto" w:sz="4" w:space="0"/>
              <w:left w:val="single" w:color="auto" w:sz="4" w:space="0"/>
              <w:bottom w:val="single" w:color="auto" w:sz="4" w:space="0"/>
              <w:right w:val="single" w:color="auto" w:sz="4" w:space="0"/>
            </w:tcBorders>
          </w:tcPr>
          <w:p>
            <w:pPr>
              <w:pStyle w:val="12"/>
              <w:ind w:firstLine="1200"/>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59" w:type="dxa"/>
            <w:tcBorders>
              <w:top w:val="single" w:color="auto" w:sz="4" w:space="0"/>
              <w:left w:val="single" w:color="auto" w:sz="4" w:space="0"/>
              <w:bottom w:val="single" w:color="auto" w:sz="4" w:space="0"/>
              <w:right w:val="single" w:color="auto" w:sz="4" w:space="0"/>
            </w:tcBorders>
          </w:tcPr>
          <w:p>
            <w:pPr>
              <w:pStyle w:val="12"/>
              <w:ind w:firstLine="1200"/>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59" w:type="dxa"/>
            <w:tcBorders>
              <w:top w:val="single" w:color="auto" w:sz="4" w:space="0"/>
              <w:left w:val="single" w:color="auto" w:sz="4" w:space="0"/>
              <w:bottom w:val="single" w:color="auto" w:sz="4" w:space="0"/>
              <w:right w:val="single" w:color="auto" w:sz="4" w:space="0"/>
            </w:tcBorders>
          </w:tcPr>
          <w:p>
            <w:pPr>
              <w:pStyle w:val="12"/>
              <w:ind w:firstLine="1200"/>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59" w:type="dxa"/>
            <w:tcBorders>
              <w:top w:val="single" w:color="auto" w:sz="4" w:space="0"/>
              <w:left w:val="single" w:color="auto" w:sz="4" w:space="0"/>
              <w:bottom w:val="single" w:color="auto" w:sz="4" w:space="0"/>
              <w:right w:val="single" w:color="auto" w:sz="4" w:space="0"/>
            </w:tcBorders>
          </w:tcPr>
          <w:p>
            <w:pPr>
              <w:pStyle w:val="12"/>
              <w:ind w:firstLine="1200"/>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59" w:type="dxa"/>
            <w:tcBorders>
              <w:top w:val="single" w:color="auto" w:sz="4" w:space="0"/>
              <w:left w:val="single" w:color="auto" w:sz="4" w:space="0"/>
              <w:bottom w:val="single" w:color="auto" w:sz="4" w:space="0"/>
              <w:right w:val="single" w:color="auto" w:sz="4" w:space="0"/>
            </w:tcBorders>
          </w:tcPr>
          <w:p>
            <w:pPr>
              <w:pStyle w:val="12"/>
              <w:ind w:firstLine="1200"/>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12"/>
              <w:ind w:firstLine="1200"/>
              <w:jc w:val="both"/>
              <w:rPr>
                <w:szCs w:val="24"/>
              </w:rPr>
            </w:pPr>
          </w:p>
        </w:tc>
        <w:tc>
          <w:tcPr>
            <w:tcW w:w="1259" w:type="dxa"/>
            <w:tcBorders>
              <w:top w:val="single" w:color="auto" w:sz="4" w:space="0"/>
              <w:left w:val="single" w:color="auto" w:sz="4" w:space="0"/>
              <w:bottom w:val="single" w:color="auto" w:sz="4" w:space="0"/>
              <w:right w:val="single" w:color="auto" w:sz="4" w:space="0"/>
            </w:tcBorders>
          </w:tcPr>
          <w:p>
            <w:pPr>
              <w:pStyle w:val="12"/>
              <w:ind w:firstLine="1200"/>
              <w:jc w:val="both"/>
              <w:rPr>
                <w:szCs w:val="24"/>
              </w:rPr>
            </w:pPr>
          </w:p>
        </w:tc>
      </w:tr>
    </w:tbl>
    <w:p>
      <w:pPr>
        <w:spacing w:line="360" w:lineRule="auto"/>
        <w:ind w:firstLine="480" w:firstLineChars="200"/>
        <w:jc w:val="left"/>
        <w:rPr>
          <w:rFonts w:hAnsi="宋体" w:cs="Arial"/>
          <w:sz w:val="24"/>
        </w:rPr>
      </w:pPr>
      <w:r>
        <w:rPr>
          <w:rFonts w:hint="eastAsia" w:hAnsi="宋体"/>
          <w:sz w:val="24"/>
        </w:rPr>
        <w:t>注：</w:t>
      </w:r>
      <w:r>
        <w:rPr>
          <w:rFonts w:hAnsi="宋体"/>
          <w:sz w:val="24"/>
        </w:rPr>
        <w:t>1</w:t>
      </w:r>
      <w:r>
        <w:rPr>
          <w:rFonts w:hint="eastAsia" w:hAnsi="宋体"/>
          <w:sz w:val="24"/>
        </w:rPr>
        <w:t>、近</w:t>
      </w:r>
      <w:r>
        <w:rPr>
          <w:rFonts w:hAnsi="宋体"/>
          <w:sz w:val="24"/>
        </w:rPr>
        <w:t>3</w:t>
      </w:r>
      <w:r>
        <w:rPr>
          <w:rFonts w:hint="eastAsia" w:hAnsi="宋体"/>
          <w:sz w:val="24"/>
        </w:rPr>
        <w:t>年（</w:t>
      </w:r>
      <w:r>
        <w:rPr>
          <w:rFonts w:hAnsi="宋体"/>
          <w:sz w:val="24"/>
        </w:rPr>
        <w:t>202</w:t>
      </w:r>
      <w:r>
        <w:rPr>
          <w:rFonts w:hint="eastAsia" w:hAnsi="宋体"/>
          <w:sz w:val="24"/>
        </w:rPr>
        <w:t>1年</w:t>
      </w:r>
      <w:r>
        <w:rPr>
          <w:rFonts w:hAnsi="宋体"/>
          <w:sz w:val="24"/>
        </w:rPr>
        <w:t>1</w:t>
      </w:r>
      <w:r>
        <w:rPr>
          <w:rFonts w:hint="eastAsia" w:hAnsi="宋体"/>
          <w:sz w:val="24"/>
        </w:rPr>
        <w:t>月</w:t>
      </w:r>
      <w:r>
        <w:rPr>
          <w:rFonts w:hAnsi="宋体"/>
          <w:sz w:val="24"/>
        </w:rPr>
        <w:t>1</w:t>
      </w:r>
      <w:r>
        <w:rPr>
          <w:rFonts w:hint="eastAsia" w:hAnsi="宋体"/>
          <w:sz w:val="24"/>
        </w:rPr>
        <w:t>日至磋商截止日止）同类业绩</w:t>
      </w:r>
      <w:r>
        <w:rPr>
          <w:rFonts w:hint="eastAsia" w:hAnsi="宋体" w:cs="Arial"/>
          <w:sz w:val="24"/>
        </w:rPr>
        <w:t>须提供证明材料包括但不限于：合同首尾页，采购内容和合同额，供货时间，双方签字盖章页等。</w:t>
      </w:r>
    </w:p>
    <w:p>
      <w:pPr>
        <w:spacing w:line="360" w:lineRule="auto"/>
        <w:ind w:left="420" w:leftChars="200" w:firstLine="480" w:firstLineChars="200"/>
        <w:jc w:val="left"/>
        <w:rPr>
          <w:rFonts w:hAnsi="宋体"/>
          <w:sz w:val="24"/>
        </w:rPr>
      </w:pPr>
      <w:r>
        <w:rPr>
          <w:rFonts w:hAnsi="宋体"/>
          <w:sz w:val="24"/>
        </w:rPr>
        <w:t>2</w:t>
      </w:r>
      <w:r>
        <w:rPr>
          <w:rFonts w:hint="eastAsia" w:hAnsi="宋体"/>
          <w:sz w:val="24"/>
        </w:rPr>
        <w:t>、</w:t>
      </w:r>
      <w:r>
        <w:rPr>
          <w:rFonts w:hAnsi="宋体"/>
          <w:sz w:val="24"/>
        </w:rPr>
        <w:t xml:space="preserve"> </w:t>
      </w:r>
      <w:r>
        <w:rPr>
          <w:rFonts w:hint="eastAsia" w:hAnsi="宋体"/>
          <w:sz w:val="24"/>
          <w:szCs w:val="21"/>
        </w:rPr>
        <w:t>所有合同复印件应清晰，并由供应商单位加盖供应商公章。</w:t>
      </w:r>
    </w:p>
    <w:p>
      <w:pPr>
        <w:widowControl/>
        <w:ind w:firstLine="1200"/>
        <w:jc w:val="center"/>
      </w:pPr>
    </w:p>
    <w:p>
      <w:pPr>
        <w:widowControl/>
        <w:ind w:firstLine="1200"/>
        <w:jc w:val="center"/>
      </w:pPr>
    </w:p>
    <w:p>
      <w:pPr>
        <w:widowControl/>
        <w:ind w:firstLine="1200"/>
        <w:jc w:val="center"/>
      </w:pPr>
    </w:p>
    <w:p>
      <w:pPr>
        <w:tabs>
          <w:tab w:val="left" w:pos="7635"/>
        </w:tabs>
        <w:spacing w:line="360" w:lineRule="auto"/>
        <w:ind w:right="-20" w:firstLine="120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tabs>
          <w:tab w:val="left" w:pos="1680"/>
        </w:tabs>
        <w:spacing w:line="360" w:lineRule="auto"/>
        <w:ind w:firstLine="1200"/>
        <w:rPr>
          <w:rFonts w:ascii="宋体" w:hAnsi="宋体"/>
          <w:color w:val="000000"/>
          <w:sz w:val="24"/>
        </w:rPr>
      </w:pPr>
      <w:r>
        <w:rPr>
          <w:rFonts w:hint="eastAsia" w:ascii="宋体" w:hAnsi="宋体"/>
          <w:sz w:val="24"/>
        </w:rPr>
        <w:t>法定代表人或授权委托人（签字或盖章）：</w:t>
      </w:r>
      <w:r>
        <w:rPr>
          <w:rFonts w:hint="eastAsia" w:ascii="宋体" w:hAnsi="宋体"/>
          <w:sz w:val="24"/>
          <w:u w:val="single"/>
        </w:rPr>
        <w:t xml:space="preserve">                          </w:t>
      </w:r>
    </w:p>
    <w:p>
      <w:pPr>
        <w:spacing w:line="360" w:lineRule="auto"/>
        <w:ind w:firstLine="1200"/>
        <w:rPr>
          <w:rFonts w:ascii="宋体" w:hAnsi="宋体"/>
          <w:color w:val="000000"/>
          <w:sz w:val="24"/>
        </w:rPr>
      </w:pPr>
      <w:r>
        <w:rPr>
          <w:rFonts w:hint="eastAsia" w:ascii="宋体" w:hAnsi="宋体"/>
          <w:color w:val="000000"/>
          <w:sz w:val="24"/>
        </w:rPr>
        <w:t xml:space="preserve">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widowControl/>
        <w:ind w:firstLine="1200"/>
        <w:jc w:val="center"/>
      </w:pPr>
    </w:p>
    <w:p>
      <w:pPr>
        <w:widowControl/>
        <w:spacing w:line="360" w:lineRule="auto"/>
        <w:ind w:firstLine="1205"/>
        <w:jc w:val="left"/>
        <w:rPr>
          <w:rFonts w:ascii="宋体" w:hAnsi="宋体"/>
          <w:b/>
          <w:bCs/>
          <w:sz w:val="24"/>
          <w:szCs w:val="21"/>
          <w:lang w:val="zh-CN"/>
        </w:rPr>
        <w:sectPr>
          <w:footnotePr>
            <w:numRestart w:val="eachPage"/>
          </w:footnotePr>
          <w:pgSz w:w="11906" w:h="16838"/>
          <w:pgMar w:top="1418" w:right="1418" w:bottom="1418" w:left="1418" w:header="851" w:footer="992" w:gutter="0"/>
          <w:cols w:space="720" w:num="1"/>
        </w:sectPr>
      </w:pPr>
    </w:p>
    <w:p>
      <w:pPr>
        <w:pStyle w:val="4"/>
        <w:spacing w:before="0" w:after="0" w:line="360" w:lineRule="auto"/>
        <w:ind w:firstLine="1205"/>
        <w:rPr>
          <w:rFonts w:ascii="宋体" w:hAnsi="宋体"/>
          <w:sz w:val="24"/>
          <w:szCs w:val="21"/>
        </w:rPr>
      </w:pPr>
      <w:bookmarkStart w:id="190" w:name="_Toc20230580"/>
      <w:bookmarkStart w:id="191" w:name="_Toc20230587"/>
      <w:r>
        <w:rPr>
          <w:rFonts w:hint="eastAsia" w:ascii="宋体" w:hAnsi="宋体"/>
          <w:sz w:val="24"/>
          <w:szCs w:val="21"/>
        </w:rPr>
        <w:t>3、技术规格响应/偏离表格式</w:t>
      </w:r>
      <w:bookmarkEnd w:id="190"/>
    </w:p>
    <w:p>
      <w:pPr>
        <w:spacing w:before="120"/>
        <w:jc w:val="center"/>
        <w:rPr>
          <w:rFonts w:ascii="宋体" w:hAnsi="宋体"/>
          <w:b/>
          <w:sz w:val="24"/>
        </w:rPr>
      </w:pPr>
      <w:r>
        <w:rPr>
          <w:rFonts w:hint="eastAsia" w:ascii="宋体" w:hAnsi="宋体"/>
          <w:b/>
          <w:sz w:val="24"/>
        </w:rPr>
        <w:t>技术规格响应/偏离表</w:t>
      </w:r>
    </w:p>
    <w:p>
      <w:pPr>
        <w:spacing w:before="120" w:after="120"/>
        <w:ind w:firstLine="1200"/>
        <w:rPr>
          <w:color w:val="000000"/>
          <w:sz w:val="24"/>
        </w:rPr>
      </w:pPr>
    </w:p>
    <w:p>
      <w:pPr>
        <w:tabs>
          <w:tab w:val="left" w:pos="1800"/>
          <w:tab w:val="left" w:pos="5580"/>
        </w:tabs>
        <w:spacing w:line="360" w:lineRule="auto"/>
        <w:rPr>
          <w:rFonts w:ascii="宋体" w:hAnsi="宋体"/>
          <w:color w:val="000000"/>
          <w:sz w:val="24"/>
        </w:rPr>
      </w:pPr>
      <w:r>
        <w:rPr>
          <w:rFonts w:hint="eastAsia" w:ascii="宋体" w:hAnsi="宋体"/>
          <w:sz w:val="24"/>
        </w:rPr>
        <w:t>项目名称：　                                         项目编号：</w:t>
      </w:r>
      <w:r>
        <w:rPr>
          <w:rFonts w:hint="eastAsia" w:ascii="宋体" w:hAnsi="宋体"/>
          <w:color w:val="000000"/>
          <w:szCs w:val="21"/>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752"/>
        <w:gridCol w:w="1245"/>
        <w:gridCol w:w="1203"/>
        <w:gridCol w:w="1260"/>
        <w:gridCol w:w="1485"/>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olor w:val="000000"/>
                <w:sz w:val="24"/>
              </w:rPr>
            </w:pPr>
            <w:r>
              <w:rPr>
                <w:rFonts w:hint="eastAsia" w:ascii="宋体" w:hAnsi="宋体"/>
                <w:color w:val="000000"/>
                <w:sz w:val="24"/>
              </w:rPr>
              <w:t>序号</w:t>
            </w:r>
          </w:p>
        </w:tc>
        <w:tc>
          <w:tcPr>
            <w:tcW w:w="1752"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olor w:val="000000"/>
                <w:sz w:val="24"/>
              </w:rPr>
            </w:pPr>
            <w:r>
              <w:rPr>
                <w:rFonts w:hint="eastAsia" w:ascii="宋体" w:hAnsi="宋体"/>
                <w:color w:val="000000"/>
                <w:sz w:val="24"/>
              </w:rPr>
              <w:t>货物名称</w:t>
            </w:r>
          </w:p>
        </w:tc>
        <w:tc>
          <w:tcPr>
            <w:tcW w:w="124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olor w:val="000000"/>
                <w:sz w:val="24"/>
              </w:rPr>
            </w:pPr>
            <w:r>
              <w:rPr>
                <w:rFonts w:hint="eastAsia" w:ascii="宋体" w:hAnsi="宋体"/>
                <w:color w:val="000000"/>
                <w:sz w:val="24"/>
              </w:rPr>
              <w:t>磋商文件条目号</w:t>
            </w:r>
          </w:p>
        </w:tc>
        <w:tc>
          <w:tcPr>
            <w:tcW w:w="1203"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olor w:val="000000"/>
                <w:sz w:val="24"/>
              </w:rPr>
            </w:pPr>
            <w:r>
              <w:rPr>
                <w:rFonts w:hint="eastAsia" w:ascii="宋体" w:hAnsi="宋体"/>
                <w:color w:val="000000"/>
                <w:sz w:val="24"/>
              </w:rPr>
              <w:t>磋商规格</w:t>
            </w:r>
          </w:p>
        </w:tc>
        <w:tc>
          <w:tcPr>
            <w:tcW w:w="12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olor w:val="000000"/>
                <w:sz w:val="24"/>
              </w:rPr>
            </w:pPr>
            <w:r>
              <w:rPr>
                <w:rFonts w:hint="eastAsia" w:ascii="宋体" w:hAnsi="宋体"/>
                <w:color w:val="000000"/>
                <w:sz w:val="24"/>
              </w:rPr>
              <w:t>响应规格</w:t>
            </w:r>
          </w:p>
        </w:tc>
        <w:tc>
          <w:tcPr>
            <w:tcW w:w="148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olor w:val="000000"/>
                <w:sz w:val="24"/>
              </w:rPr>
            </w:pPr>
            <w:r>
              <w:rPr>
                <w:rFonts w:hint="eastAsia" w:ascii="宋体" w:hAnsi="宋体"/>
                <w:color w:val="000000"/>
                <w:sz w:val="24"/>
              </w:rPr>
              <w:t>响应/偏离</w:t>
            </w:r>
          </w:p>
        </w:tc>
        <w:tc>
          <w:tcPr>
            <w:tcW w:w="1032"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7"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75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4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03"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485"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c>
          <w:tcPr>
            <w:tcW w:w="1032" w:type="dxa"/>
            <w:tcBorders>
              <w:top w:val="single" w:color="auto" w:sz="4" w:space="0"/>
              <w:left w:val="single" w:color="auto" w:sz="4" w:space="0"/>
              <w:bottom w:val="single" w:color="auto" w:sz="4" w:space="0"/>
              <w:right w:val="single" w:color="auto" w:sz="4" w:space="0"/>
            </w:tcBorders>
          </w:tcPr>
          <w:p>
            <w:pPr>
              <w:spacing w:before="120" w:after="120"/>
              <w:ind w:firstLine="1200"/>
              <w:rPr>
                <w:color w:val="000000"/>
                <w:sz w:val="24"/>
              </w:rPr>
            </w:pPr>
          </w:p>
        </w:tc>
      </w:tr>
    </w:tbl>
    <w:p>
      <w:pPr>
        <w:tabs>
          <w:tab w:val="left" w:pos="7635"/>
        </w:tabs>
        <w:spacing w:line="360" w:lineRule="auto"/>
        <w:ind w:right="-20" w:firstLine="1200"/>
        <w:rPr>
          <w:rFonts w:ascii="宋体" w:hAnsi="宋体" w:cs="宋体"/>
          <w:color w:val="000000"/>
          <w:position w:val="-3"/>
          <w:sz w:val="24"/>
        </w:rPr>
      </w:pPr>
    </w:p>
    <w:p>
      <w:pPr>
        <w:tabs>
          <w:tab w:val="left" w:pos="7635"/>
        </w:tabs>
        <w:spacing w:line="360" w:lineRule="auto"/>
        <w:ind w:right="-20" w:firstLine="1200"/>
        <w:rPr>
          <w:rFonts w:ascii="宋体" w:hAnsi="宋体" w:cs="宋体"/>
          <w:color w:val="000000"/>
          <w:position w:val="-3"/>
          <w:sz w:val="24"/>
          <w:u w:val="single" w:color="000000"/>
        </w:rPr>
      </w:pPr>
      <w:r>
        <w:rPr>
          <w:rFonts w:hint="eastAsia" w:ascii="宋体" w:hAnsi="宋体" w:cs="宋体"/>
          <w:color w:val="000000"/>
          <w:position w:val="-3"/>
          <w:sz w:val="24"/>
        </w:rPr>
        <w:t>供应商名称（盖单位章）</w:t>
      </w:r>
      <w:r>
        <w:rPr>
          <w:rFonts w:hint="eastAsia" w:ascii="宋体" w:hAnsi="宋体" w:cs="宋体"/>
          <w:color w:val="000000"/>
          <w:position w:val="-3"/>
          <w:sz w:val="24"/>
          <w:u w:val="single" w:color="000000"/>
        </w:rPr>
        <w:t xml:space="preserve"> </w:t>
      </w:r>
      <w:r>
        <w:rPr>
          <w:rFonts w:hint="eastAsia" w:ascii="宋体" w:hAnsi="宋体" w:cs="宋体"/>
          <w:color w:val="000000"/>
          <w:position w:val="-3"/>
          <w:sz w:val="24"/>
          <w:u w:val="single" w:color="000000"/>
        </w:rPr>
        <w:tab/>
      </w:r>
    </w:p>
    <w:p>
      <w:pPr>
        <w:spacing w:before="120" w:after="120"/>
        <w:ind w:firstLine="1200"/>
        <w:rPr>
          <w:rFonts w:ascii="宋体" w:hAnsi="Courier New"/>
          <w:color w:val="000000"/>
          <w:szCs w:val="21"/>
        </w:rPr>
      </w:pPr>
      <w:r>
        <w:rPr>
          <w:rFonts w:hint="eastAsia" w:ascii="宋体" w:hAnsi="宋体"/>
          <w:sz w:val="24"/>
        </w:rPr>
        <w:t>法定代表人或授权委托人（签字或盖章）：</w:t>
      </w:r>
      <w:r>
        <w:rPr>
          <w:rFonts w:hint="eastAsia" w:ascii="宋体" w:hAnsi="宋体"/>
          <w:sz w:val="24"/>
          <w:u w:val="single"/>
        </w:rPr>
        <w:t xml:space="preserve">                          </w:t>
      </w:r>
      <w:r>
        <w:rPr>
          <w:rFonts w:hint="eastAsia" w:ascii="宋体" w:hAnsi="Courier New"/>
          <w:color w:val="000000"/>
          <w:szCs w:val="21"/>
        </w:rPr>
        <w:t xml:space="preserve">                              </w:t>
      </w:r>
    </w:p>
    <w:p>
      <w:pPr>
        <w:pStyle w:val="23"/>
        <w:spacing w:line="580" w:lineRule="exact"/>
        <w:ind w:left="480" w:hanging="480" w:hangingChars="200"/>
        <w:rPr>
          <w:color w:val="000000"/>
          <w:sz w:val="24"/>
        </w:rPr>
      </w:pPr>
      <w:r>
        <w:rPr>
          <w:rFonts w:hint="eastAsia"/>
          <w:color w:val="000000"/>
          <w:sz w:val="24"/>
        </w:rPr>
        <w:t>注:</w:t>
      </w:r>
    </w:p>
    <w:p>
      <w:pPr>
        <w:pStyle w:val="23"/>
        <w:spacing w:line="520" w:lineRule="exact"/>
        <w:ind w:left="480" w:hanging="480" w:hangingChars="200"/>
        <w:rPr>
          <w:color w:val="000000"/>
          <w:sz w:val="24"/>
          <w:szCs w:val="24"/>
        </w:rPr>
      </w:pPr>
      <w:r>
        <w:rPr>
          <w:rFonts w:hint="eastAsia"/>
          <w:color w:val="000000"/>
          <w:sz w:val="24"/>
          <w:szCs w:val="24"/>
        </w:rPr>
        <w:t>1、 供应商必须对照磋商文件技术规格，如实逐条说明所提供货物和服务已对磋商文件的技术规格做出了实质性的响应，并申明与技术规格条文的偏差和例外。特别对有具体参数要求的指标，供应商必须提供所投设备的具体参数值。</w:t>
      </w:r>
    </w:p>
    <w:p>
      <w:pPr>
        <w:pStyle w:val="23"/>
        <w:spacing w:line="520" w:lineRule="exact"/>
        <w:ind w:left="480" w:hanging="480" w:hangingChars="200"/>
        <w:rPr>
          <w:color w:val="000000"/>
          <w:sz w:val="24"/>
          <w:szCs w:val="24"/>
        </w:rPr>
      </w:pPr>
      <w:r>
        <w:rPr>
          <w:rFonts w:hint="eastAsia"/>
          <w:color w:val="000000"/>
          <w:sz w:val="24"/>
          <w:szCs w:val="24"/>
        </w:rPr>
        <w:t>2、 供应商应在“响应/偏离”栏中注明“响应”或“正偏离”或“负偏离”。如本表未填写，则视为供应商响应本项目所有技术规格。</w:t>
      </w:r>
    </w:p>
    <w:p>
      <w:pPr>
        <w:pStyle w:val="23"/>
        <w:spacing w:line="520" w:lineRule="exact"/>
        <w:ind w:left="480" w:hanging="480" w:hangingChars="200"/>
        <w:rPr>
          <w:color w:val="000000"/>
          <w:sz w:val="24"/>
          <w:szCs w:val="24"/>
        </w:rPr>
      </w:pPr>
      <w:r>
        <w:rPr>
          <w:rFonts w:hint="eastAsia"/>
          <w:color w:val="000000"/>
          <w:sz w:val="24"/>
          <w:szCs w:val="24"/>
        </w:rPr>
        <w:t>3、 供应商标注的“正偏离”需经评标委员会认可。</w:t>
      </w:r>
    </w:p>
    <w:p>
      <w:pPr>
        <w:pStyle w:val="4"/>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ascii="宋体" w:hAnsi="宋体"/>
          <w:sz w:val="24"/>
          <w:szCs w:val="21"/>
        </w:rPr>
      </w:pPr>
      <w:r>
        <w:rPr>
          <w:rFonts w:hint="eastAsia" w:ascii="宋体" w:hAnsi="宋体"/>
          <w:sz w:val="24"/>
          <w:szCs w:val="21"/>
          <w:lang w:val="en-US"/>
        </w:rPr>
        <w:t>4</w:t>
      </w:r>
      <w:r>
        <w:rPr>
          <w:rFonts w:hint="eastAsia" w:ascii="宋体" w:hAnsi="宋体"/>
          <w:sz w:val="24"/>
          <w:szCs w:val="21"/>
        </w:rPr>
        <w:t>、</w:t>
      </w:r>
      <w:r>
        <w:rPr>
          <w:rFonts w:hint="eastAsia" w:ascii="宋体" w:hAnsi="宋体"/>
          <w:sz w:val="24"/>
          <w:szCs w:val="21"/>
          <w:lang w:val="en-US"/>
        </w:rPr>
        <w:t>项目全年服务</w:t>
      </w:r>
      <w:r>
        <w:rPr>
          <w:rFonts w:hint="eastAsia" w:ascii="宋体" w:hAnsi="宋体"/>
          <w:sz w:val="24"/>
          <w:szCs w:val="21"/>
        </w:rPr>
        <w:t>方案</w:t>
      </w:r>
    </w:p>
    <w:p>
      <w:pPr>
        <w:pageBreakBefore w:val="0"/>
        <w:kinsoku/>
        <w:wordWrap/>
        <w:overflowPunct/>
        <w:topLinePunct w:val="0"/>
        <w:autoSpaceDE/>
        <w:autoSpaceDN/>
        <w:bidi w:val="0"/>
        <w:adjustRightInd/>
        <w:snapToGrid/>
        <w:spacing w:line="360" w:lineRule="auto"/>
        <w:ind w:firstLine="420" w:firstLineChars="200"/>
        <w:jc w:val="both"/>
        <w:textAlignment w:val="auto"/>
      </w:pPr>
      <w:r>
        <w:rPr>
          <w:rFonts w:hint="eastAsia"/>
        </w:rPr>
        <w:t>（格式自拟，自行编制）</w:t>
      </w:r>
    </w:p>
    <w:p>
      <w:pPr>
        <w:pageBreakBefore w:val="0"/>
        <w:widowControl/>
        <w:kinsoku/>
        <w:wordWrap/>
        <w:overflowPunct/>
        <w:topLinePunct w:val="0"/>
        <w:autoSpaceDE/>
        <w:autoSpaceDN/>
        <w:bidi w:val="0"/>
        <w:adjustRightInd/>
        <w:snapToGrid/>
        <w:spacing w:line="360" w:lineRule="auto"/>
        <w:ind w:firstLine="420" w:firstLineChars="200"/>
        <w:jc w:val="both"/>
        <w:textAlignment w:val="auto"/>
      </w:pPr>
    </w:p>
    <w:p>
      <w:pPr>
        <w:pStyle w:val="4"/>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ascii="宋体" w:hAnsi="宋体"/>
          <w:sz w:val="24"/>
          <w:szCs w:val="21"/>
        </w:rPr>
      </w:pPr>
      <w:r>
        <w:rPr>
          <w:rFonts w:hint="eastAsia" w:ascii="宋体" w:hAnsi="宋体"/>
          <w:sz w:val="24"/>
          <w:szCs w:val="21"/>
          <w:lang w:val="en-US"/>
        </w:rPr>
        <w:t>5</w:t>
      </w:r>
      <w:r>
        <w:rPr>
          <w:rFonts w:hint="eastAsia" w:ascii="宋体" w:hAnsi="宋体"/>
          <w:sz w:val="24"/>
          <w:szCs w:val="21"/>
        </w:rPr>
        <w:t>、</w:t>
      </w:r>
      <w:r>
        <w:rPr>
          <w:rFonts w:hint="eastAsia" w:ascii="宋体" w:hAnsi="宋体"/>
          <w:sz w:val="24"/>
          <w:szCs w:val="21"/>
          <w:lang w:val="en-US"/>
        </w:rPr>
        <w:t>应急预案</w:t>
      </w:r>
    </w:p>
    <w:p>
      <w:pPr>
        <w:pageBreakBefore w:val="0"/>
        <w:widowControl/>
        <w:kinsoku/>
        <w:wordWrap/>
        <w:overflowPunct/>
        <w:topLinePunct w:val="0"/>
        <w:autoSpaceDE/>
        <w:autoSpaceDN/>
        <w:bidi w:val="0"/>
        <w:adjustRightInd/>
        <w:snapToGrid/>
        <w:spacing w:line="360" w:lineRule="auto"/>
        <w:ind w:firstLine="420" w:firstLineChars="200"/>
        <w:jc w:val="both"/>
        <w:textAlignment w:val="auto"/>
      </w:pPr>
      <w:r>
        <w:rPr>
          <w:rFonts w:hint="eastAsia"/>
        </w:rPr>
        <w:t>（安全事故情况处理的预案）</w:t>
      </w:r>
    </w:p>
    <w:p>
      <w:pPr>
        <w:pageBreakBefore w:val="0"/>
        <w:widowControl/>
        <w:kinsoku/>
        <w:wordWrap/>
        <w:overflowPunct/>
        <w:topLinePunct w:val="0"/>
        <w:autoSpaceDE/>
        <w:autoSpaceDN/>
        <w:bidi w:val="0"/>
        <w:adjustRightInd/>
        <w:snapToGrid/>
        <w:spacing w:line="360" w:lineRule="auto"/>
        <w:ind w:firstLine="420" w:firstLineChars="200"/>
        <w:jc w:val="both"/>
        <w:textAlignment w:val="auto"/>
      </w:pPr>
    </w:p>
    <w:p>
      <w:pPr>
        <w:pStyle w:val="4"/>
        <w:pageBreakBefore w:val="0"/>
        <w:numPr>
          <w:ilvl w:val="0"/>
          <w:numId w:val="10"/>
        </w:numPr>
        <w:kinsoku/>
        <w:wordWrap/>
        <w:overflowPunct/>
        <w:topLinePunct w:val="0"/>
        <w:autoSpaceDE/>
        <w:autoSpaceDN/>
        <w:bidi w:val="0"/>
        <w:adjustRightInd/>
        <w:snapToGrid/>
        <w:spacing w:before="0" w:after="0" w:line="360" w:lineRule="auto"/>
        <w:ind w:firstLine="482" w:firstLineChars="200"/>
        <w:jc w:val="both"/>
        <w:textAlignment w:val="auto"/>
        <w:rPr>
          <w:rFonts w:ascii="宋体" w:hAnsi="宋体"/>
          <w:sz w:val="24"/>
          <w:szCs w:val="21"/>
          <w:lang w:val="en-US"/>
        </w:rPr>
      </w:pPr>
      <w:r>
        <w:rPr>
          <w:rFonts w:hint="eastAsia" w:ascii="宋体" w:hAnsi="宋体"/>
          <w:sz w:val="24"/>
          <w:szCs w:val="21"/>
          <w:lang w:val="en-US"/>
        </w:rPr>
        <w:t>员工培训计划及课件（专项培训、入职培训、员工从业经历等）</w:t>
      </w:r>
    </w:p>
    <w:p>
      <w:pPr>
        <w:pageBreakBefore w:val="0"/>
        <w:widowControl/>
        <w:kinsoku/>
        <w:wordWrap/>
        <w:overflowPunct/>
        <w:topLinePunct w:val="0"/>
        <w:autoSpaceDE/>
        <w:autoSpaceDN/>
        <w:bidi w:val="0"/>
        <w:adjustRightInd/>
        <w:snapToGrid/>
        <w:spacing w:line="360" w:lineRule="auto"/>
        <w:ind w:firstLine="482" w:firstLineChars="200"/>
        <w:jc w:val="both"/>
        <w:textAlignment w:val="auto"/>
        <w:rPr>
          <w:rFonts w:ascii="宋体" w:hAnsi="宋体"/>
          <w:b/>
          <w:bCs/>
          <w:sz w:val="24"/>
          <w:szCs w:val="21"/>
        </w:rPr>
      </w:pPr>
    </w:p>
    <w:bookmarkEnd w:id="191"/>
    <w:p>
      <w:pPr>
        <w:pStyle w:val="4"/>
        <w:pageBreakBefore w:val="0"/>
        <w:kinsoku/>
        <w:wordWrap/>
        <w:overflowPunct/>
        <w:topLinePunct w:val="0"/>
        <w:autoSpaceDE/>
        <w:autoSpaceDN/>
        <w:bidi w:val="0"/>
        <w:adjustRightInd/>
        <w:snapToGrid/>
        <w:spacing w:before="0" w:after="0" w:line="360" w:lineRule="auto"/>
        <w:ind w:firstLine="506" w:firstLineChars="200"/>
        <w:jc w:val="both"/>
        <w:textAlignment w:val="auto"/>
        <w:rPr>
          <w:rFonts w:ascii="宋体" w:hAnsi="宋体"/>
          <w:bCs w:val="0"/>
          <w:spacing w:val="6"/>
          <w:sz w:val="24"/>
          <w:szCs w:val="24"/>
          <w:lang w:val="en-US"/>
        </w:rPr>
      </w:pPr>
      <w:bookmarkStart w:id="192" w:name="_Toc20230585"/>
      <w:r>
        <w:rPr>
          <w:rFonts w:hint="eastAsia" w:ascii="宋体" w:hAnsi="宋体"/>
          <w:bCs w:val="0"/>
          <w:spacing w:val="6"/>
          <w:sz w:val="24"/>
          <w:szCs w:val="24"/>
          <w:lang w:val="en-US"/>
        </w:rPr>
        <w:t>7、维护作业人员社保证明及承诺</w:t>
      </w:r>
    </w:p>
    <w:p>
      <w:pPr>
        <w:pageBreakBefore w:val="0"/>
        <w:kinsoku/>
        <w:wordWrap/>
        <w:overflowPunct/>
        <w:topLinePunct w:val="0"/>
        <w:autoSpaceDE/>
        <w:autoSpaceDN/>
        <w:bidi w:val="0"/>
        <w:adjustRightInd/>
        <w:snapToGrid/>
        <w:spacing w:line="360" w:lineRule="auto"/>
        <w:ind w:firstLine="420" w:firstLineChars="200"/>
        <w:jc w:val="both"/>
        <w:textAlignment w:val="auto"/>
      </w:pPr>
      <w:r>
        <w:rPr>
          <w:rFonts w:hint="eastAsia"/>
        </w:rPr>
        <w:t>注：需证明维护作业人员为投标人正式员工，并承诺在中标后现场作业服务人员为本单位正式技术作业人员。</w:t>
      </w:r>
    </w:p>
    <w:p>
      <w:pPr>
        <w:ind w:firstLine="1200"/>
        <w:sectPr>
          <w:pgSz w:w="11906" w:h="16838"/>
          <w:pgMar w:top="1440" w:right="1800" w:bottom="1440" w:left="1800" w:header="851" w:footer="992" w:gutter="0"/>
          <w:cols w:space="425" w:num="1"/>
          <w:docGrid w:type="lines" w:linePitch="312" w:charSpace="0"/>
        </w:sectPr>
      </w:pPr>
    </w:p>
    <w:p>
      <w:pPr>
        <w:pStyle w:val="4"/>
        <w:spacing w:before="0" w:after="0" w:line="360" w:lineRule="auto"/>
        <w:ind w:firstLine="1265"/>
        <w:jc w:val="left"/>
        <w:rPr>
          <w:rFonts w:ascii="宋体" w:hAnsi="宋体"/>
          <w:bCs w:val="0"/>
          <w:spacing w:val="6"/>
          <w:sz w:val="24"/>
          <w:szCs w:val="24"/>
          <w:lang w:val="en-US"/>
        </w:rPr>
      </w:pPr>
      <w:r>
        <w:rPr>
          <w:rFonts w:hint="eastAsia" w:ascii="宋体" w:hAnsi="宋体"/>
          <w:bCs w:val="0"/>
          <w:spacing w:val="6"/>
          <w:sz w:val="24"/>
          <w:szCs w:val="24"/>
          <w:lang w:val="en-US"/>
        </w:rPr>
        <w:t>8、机组保养材料及备品备件报价明细表</w:t>
      </w:r>
    </w:p>
    <w:p>
      <w:pPr>
        <w:spacing w:line="360" w:lineRule="auto"/>
        <w:jc w:val="center"/>
        <w:rPr>
          <w:rFonts w:hint="eastAsia" w:ascii="宋体" w:hAnsi="宋体"/>
          <w:b/>
          <w:szCs w:val="21"/>
        </w:rPr>
      </w:pPr>
      <w:r>
        <w:rPr>
          <w:rFonts w:hint="eastAsia" w:ascii="宋体" w:hAnsi="宋体"/>
          <w:b/>
          <w:szCs w:val="21"/>
        </w:rPr>
        <w:t>机组保养材料及备品备件报价明细表</w:t>
      </w:r>
    </w:p>
    <w:tbl>
      <w:tblPr>
        <w:tblStyle w:val="41"/>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34"/>
        <w:gridCol w:w="992"/>
        <w:gridCol w:w="1418"/>
        <w:gridCol w:w="1301"/>
        <w:gridCol w:w="931"/>
        <w:gridCol w:w="15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6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品牌</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型号</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数量</w:t>
            </w: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单位</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单价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供货周期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szCs w:val="21"/>
              </w:rPr>
              <w:t>1</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szCs w:val="21"/>
              </w:rPr>
              <w:t>2</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szCs w:val="21"/>
              </w:rPr>
              <w:t>3</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szCs w:val="21"/>
              </w:rPr>
              <w:t>4</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szCs w:val="21"/>
              </w:rPr>
              <w:t>5</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szCs w:val="21"/>
              </w:rPr>
              <w:t>6</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r>
              <w:rPr>
                <w:rFonts w:hint="eastAsia" w:ascii="宋体" w:hAnsi="宋体" w:cs="微软雅黑"/>
                <w:szCs w:val="21"/>
              </w:rPr>
              <w:t>小计</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r>
              <w:rPr>
                <w:rFonts w:hint="eastAsia" w:ascii="宋体" w:hAnsi="宋体" w:cs="微软雅黑"/>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r>
              <w:rPr>
                <w:rFonts w:hint="eastAsia" w:ascii="宋体" w:hAnsi="宋体" w:cs="微软雅黑"/>
                <w:szCs w:val="21"/>
              </w:rPr>
              <w:t>总价（含税）</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Cs w:val="21"/>
              </w:rPr>
            </w:pPr>
          </w:p>
        </w:tc>
      </w:tr>
    </w:tbl>
    <w:p>
      <w:pPr>
        <w:spacing w:line="360" w:lineRule="auto"/>
        <w:jc w:val="left"/>
        <w:rPr>
          <w:rFonts w:hint="eastAsia" w:ascii="宋体" w:hAnsi="宋体"/>
          <w:b/>
          <w:szCs w:val="21"/>
        </w:rPr>
      </w:pPr>
    </w:p>
    <w:p>
      <w:pPr>
        <w:jc w:val="center"/>
        <w:rPr>
          <w:rFonts w:hint="eastAsia" w:ascii="宋体" w:hAnsi="宋体"/>
          <w:b/>
          <w:bCs/>
          <w:spacing w:val="6"/>
          <w:sz w:val="24"/>
        </w:rPr>
      </w:pPr>
      <w:r>
        <w:rPr>
          <w:rFonts w:hint="eastAsia" w:ascii="宋体" w:hAnsi="宋体"/>
          <w:b/>
          <w:bCs/>
          <w:spacing w:val="6"/>
          <w:sz w:val="24"/>
        </w:rPr>
        <w:t>免费提供配件明细表</w:t>
      </w:r>
    </w:p>
    <w:tbl>
      <w:tblPr>
        <w:tblStyle w:val="42"/>
        <w:tblpPr w:leftFromText="180" w:rightFromText="180" w:vertAnchor="text" w:horzAnchor="margin" w:tblpXSpec="center" w:tblpY="521"/>
        <w:tblOverlap w:val="never"/>
        <w:tblW w:w="10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689"/>
        <w:gridCol w:w="1086"/>
        <w:gridCol w:w="1267"/>
        <w:gridCol w:w="1191"/>
        <w:gridCol w:w="1442"/>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spacing w:line="360" w:lineRule="auto"/>
              <w:jc w:val="center"/>
              <w:rPr>
                <w:rFonts w:ascii="宋体" w:hAnsi="宋体"/>
                <w:b/>
                <w:szCs w:val="21"/>
              </w:rPr>
            </w:pPr>
            <w:r>
              <w:rPr>
                <w:rFonts w:hint="eastAsia" w:ascii="宋体" w:hAnsi="宋体"/>
                <w:b/>
                <w:szCs w:val="21"/>
              </w:rPr>
              <w:t>序号</w:t>
            </w:r>
          </w:p>
        </w:tc>
        <w:tc>
          <w:tcPr>
            <w:tcW w:w="1689" w:type="dxa"/>
          </w:tcPr>
          <w:p>
            <w:pPr>
              <w:spacing w:line="360" w:lineRule="auto"/>
              <w:jc w:val="center"/>
              <w:rPr>
                <w:rFonts w:ascii="宋体" w:hAnsi="宋体"/>
                <w:b/>
                <w:szCs w:val="21"/>
              </w:rPr>
            </w:pPr>
            <w:r>
              <w:rPr>
                <w:rFonts w:hint="eastAsia" w:ascii="宋体" w:hAnsi="宋体"/>
                <w:b/>
                <w:szCs w:val="21"/>
              </w:rPr>
              <w:t>材料名称</w:t>
            </w:r>
          </w:p>
        </w:tc>
        <w:tc>
          <w:tcPr>
            <w:tcW w:w="1086" w:type="dxa"/>
          </w:tcPr>
          <w:p>
            <w:pPr>
              <w:spacing w:line="360" w:lineRule="auto"/>
              <w:jc w:val="center"/>
              <w:rPr>
                <w:rFonts w:ascii="宋体" w:hAnsi="宋体"/>
                <w:b/>
                <w:szCs w:val="21"/>
              </w:rPr>
            </w:pPr>
            <w:r>
              <w:rPr>
                <w:rFonts w:hint="eastAsia" w:ascii="宋体" w:hAnsi="宋体"/>
                <w:b/>
                <w:szCs w:val="21"/>
              </w:rPr>
              <w:t>品牌</w:t>
            </w:r>
          </w:p>
        </w:tc>
        <w:tc>
          <w:tcPr>
            <w:tcW w:w="1267" w:type="dxa"/>
          </w:tcPr>
          <w:p>
            <w:pPr>
              <w:spacing w:line="360" w:lineRule="auto"/>
              <w:jc w:val="center"/>
              <w:rPr>
                <w:rFonts w:ascii="宋体" w:hAnsi="宋体"/>
                <w:b/>
                <w:szCs w:val="21"/>
              </w:rPr>
            </w:pPr>
            <w:r>
              <w:rPr>
                <w:rFonts w:hint="eastAsia" w:ascii="宋体" w:hAnsi="宋体"/>
                <w:b/>
                <w:szCs w:val="21"/>
              </w:rPr>
              <w:t>型号</w:t>
            </w:r>
          </w:p>
        </w:tc>
        <w:tc>
          <w:tcPr>
            <w:tcW w:w="1191" w:type="dxa"/>
          </w:tcPr>
          <w:p>
            <w:pPr>
              <w:spacing w:line="360" w:lineRule="auto"/>
              <w:jc w:val="center"/>
              <w:rPr>
                <w:rFonts w:ascii="宋体" w:hAnsi="宋体"/>
                <w:b/>
                <w:szCs w:val="21"/>
              </w:rPr>
            </w:pPr>
            <w:r>
              <w:rPr>
                <w:rFonts w:hint="eastAsia" w:ascii="宋体" w:hAnsi="宋体"/>
                <w:b/>
                <w:szCs w:val="21"/>
              </w:rPr>
              <w:t>单价（元）</w:t>
            </w:r>
          </w:p>
        </w:tc>
        <w:tc>
          <w:tcPr>
            <w:tcW w:w="1442" w:type="dxa"/>
          </w:tcPr>
          <w:p>
            <w:pPr>
              <w:spacing w:line="360" w:lineRule="auto"/>
              <w:jc w:val="center"/>
              <w:rPr>
                <w:rFonts w:ascii="宋体" w:hAnsi="宋体"/>
                <w:b/>
                <w:szCs w:val="21"/>
              </w:rPr>
            </w:pPr>
            <w:r>
              <w:rPr>
                <w:rFonts w:hint="eastAsia" w:ascii="宋体" w:hAnsi="宋体"/>
                <w:b/>
                <w:szCs w:val="21"/>
              </w:rPr>
              <w:t>数量</w:t>
            </w:r>
          </w:p>
        </w:tc>
        <w:tc>
          <w:tcPr>
            <w:tcW w:w="1400" w:type="dxa"/>
          </w:tcPr>
          <w:p>
            <w:pPr>
              <w:spacing w:line="360" w:lineRule="auto"/>
              <w:jc w:val="center"/>
              <w:rPr>
                <w:rFonts w:ascii="宋体" w:hAnsi="宋体"/>
                <w:b/>
                <w:szCs w:val="21"/>
              </w:rPr>
            </w:pPr>
            <w:r>
              <w:rPr>
                <w:rFonts w:hint="eastAsia" w:ascii="宋体" w:hAnsi="宋体"/>
                <w:b/>
                <w:szCs w:val="21"/>
              </w:rPr>
              <w:t>供货周期</w:t>
            </w:r>
          </w:p>
        </w:tc>
        <w:tc>
          <w:tcPr>
            <w:tcW w:w="1400" w:type="dxa"/>
          </w:tcPr>
          <w:p>
            <w:pPr>
              <w:spacing w:line="360" w:lineRule="auto"/>
              <w:jc w:val="center"/>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87" w:type="dxa"/>
            <w:vAlign w:val="center"/>
          </w:tcPr>
          <w:p>
            <w:pPr>
              <w:jc w:val="center"/>
              <w:rPr>
                <w:rFonts w:ascii="宋体" w:hAnsi="宋体" w:cs="微软雅黑"/>
                <w:szCs w:val="21"/>
              </w:rPr>
            </w:pPr>
            <w:r>
              <w:rPr>
                <w:rFonts w:hint="eastAsia" w:ascii="宋体" w:hAnsi="宋体" w:cs="微软雅黑"/>
                <w:szCs w:val="21"/>
              </w:rPr>
              <w:t>1</w:t>
            </w:r>
          </w:p>
        </w:tc>
        <w:tc>
          <w:tcPr>
            <w:tcW w:w="1689" w:type="dxa"/>
            <w:vAlign w:val="center"/>
          </w:tcPr>
          <w:p>
            <w:pPr>
              <w:jc w:val="center"/>
              <w:rPr>
                <w:rFonts w:ascii="宋体" w:hAnsi="宋体" w:cs="微软雅黑"/>
                <w:szCs w:val="21"/>
              </w:rPr>
            </w:pPr>
          </w:p>
        </w:tc>
        <w:tc>
          <w:tcPr>
            <w:tcW w:w="1086" w:type="dxa"/>
            <w:vAlign w:val="center"/>
          </w:tcPr>
          <w:p>
            <w:pPr>
              <w:jc w:val="center"/>
              <w:rPr>
                <w:rFonts w:ascii="宋体" w:hAnsi="宋体" w:cs="微软雅黑"/>
                <w:szCs w:val="21"/>
              </w:rPr>
            </w:pPr>
          </w:p>
        </w:tc>
        <w:tc>
          <w:tcPr>
            <w:tcW w:w="1267" w:type="dxa"/>
            <w:vAlign w:val="center"/>
          </w:tcPr>
          <w:p>
            <w:pPr>
              <w:jc w:val="center"/>
              <w:rPr>
                <w:rFonts w:ascii="宋体" w:hAnsi="宋体" w:cs="微软雅黑"/>
                <w:szCs w:val="21"/>
              </w:rPr>
            </w:pPr>
          </w:p>
        </w:tc>
        <w:tc>
          <w:tcPr>
            <w:tcW w:w="1191" w:type="dxa"/>
            <w:vAlign w:val="center"/>
          </w:tcPr>
          <w:p>
            <w:pPr>
              <w:spacing w:line="240" w:lineRule="exact"/>
              <w:jc w:val="center"/>
              <w:rPr>
                <w:rFonts w:ascii="宋体" w:hAnsi="宋体" w:cs="微软雅黑"/>
                <w:szCs w:val="21"/>
              </w:rPr>
            </w:pPr>
          </w:p>
        </w:tc>
        <w:tc>
          <w:tcPr>
            <w:tcW w:w="1442" w:type="dxa"/>
            <w:vAlign w:val="center"/>
          </w:tcPr>
          <w:p>
            <w:pPr>
              <w:jc w:val="center"/>
              <w:rPr>
                <w:rFonts w:ascii="宋体" w:hAnsi="宋体" w:cs="微软雅黑"/>
                <w:szCs w:val="21"/>
              </w:rPr>
            </w:pPr>
          </w:p>
        </w:tc>
        <w:tc>
          <w:tcPr>
            <w:tcW w:w="1400" w:type="dxa"/>
          </w:tcPr>
          <w:p>
            <w:pPr>
              <w:rPr>
                <w:rFonts w:ascii="宋体" w:hAnsi="宋体" w:cs="微软雅黑"/>
                <w:szCs w:val="21"/>
              </w:rPr>
            </w:pPr>
          </w:p>
        </w:tc>
        <w:tc>
          <w:tcPr>
            <w:tcW w:w="1400" w:type="dxa"/>
            <w:vMerge w:val="restart"/>
            <w:vAlign w:val="center"/>
          </w:tcPr>
          <w:p>
            <w:pPr>
              <w:rPr>
                <w:rFonts w:ascii="宋体" w:hAnsi="宋体" w:cs="微软雅黑"/>
                <w:szCs w:val="21"/>
              </w:rPr>
            </w:pPr>
            <w:r>
              <w:rPr>
                <w:rFonts w:ascii="宋体" w:hAnsi="宋体" w:cs="微软雅黑"/>
                <w:szCs w:val="21"/>
              </w:rPr>
              <w:t>甲方确认品牌型号后</w:t>
            </w:r>
            <w:r>
              <w:rPr>
                <w:rFonts w:hint="eastAsia" w:ascii="宋体" w:hAnsi="宋体" w:cs="微软雅黑"/>
                <w:szCs w:val="21"/>
              </w:rPr>
              <w:t>，</w:t>
            </w:r>
            <w:r>
              <w:rPr>
                <w:rFonts w:ascii="宋体" w:hAnsi="宋体" w:cs="微软雅黑"/>
                <w:szCs w:val="21"/>
              </w:rPr>
              <w:t>方可提供</w:t>
            </w:r>
            <w:r>
              <w:rPr>
                <w:rFonts w:hint="eastAsia" w:ascii="宋体" w:hAnsi="宋体" w:cs="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jc w:val="center"/>
              <w:rPr>
                <w:rFonts w:ascii="宋体" w:hAnsi="宋体" w:cs="微软雅黑"/>
                <w:szCs w:val="21"/>
              </w:rPr>
            </w:pPr>
            <w:r>
              <w:rPr>
                <w:rFonts w:hint="eastAsia" w:ascii="宋体" w:hAnsi="宋体" w:cs="微软雅黑"/>
                <w:szCs w:val="21"/>
              </w:rPr>
              <w:t>2</w:t>
            </w:r>
          </w:p>
        </w:tc>
        <w:tc>
          <w:tcPr>
            <w:tcW w:w="1689" w:type="dxa"/>
            <w:vAlign w:val="center"/>
          </w:tcPr>
          <w:p>
            <w:pPr>
              <w:jc w:val="center"/>
              <w:rPr>
                <w:rFonts w:ascii="宋体" w:hAnsi="宋体" w:cs="微软雅黑"/>
                <w:szCs w:val="21"/>
              </w:rPr>
            </w:pPr>
          </w:p>
        </w:tc>
        <w:tc>
          <w:tcPr>
            <w:tcW w:w="1086" w:type="dxa"/>
            <w:vAlign w:val="center"/>
          </w:tcPr>
          <w:p>
            <w:pPr>
              <w:jc w:val="center"/>
              <w:rPr>
                <w:rFonts w:ascii="宋体" w:hAnsi="宋体" w:cs="微软雅黑"/>
                <w:szCs w:val="21"/>
              </w:rPr>
            </w:pPr>
          </w:p>
        </w:tc>
        <w:tc>
          <w:tcPr>
            <w:tcW w:w="1267" w:type="dxa"/>
            <w:vAlign w:val="center"/>
          </w:tcPr>
          <w:p>
            <w:pPr>
              <w:jc w:val="center"/>
              <w:rPr>
                <w:rFonts w:ascii="微软雅黑" w:hAnsi="微软雅黑" w:eastAsia="微软雅黑" w:cs="微软雅黑"/>
              </w:rPr>
            </w:pPr>
          </w:p>
        </w:tc>
        <w:tc>
          <w:tcPr>
            <w:tcW w:w="1191" w:type="dxa"/>
            <w:vAlign w:val="center"/>
          </w:tcPr>
          <w:p>
            <w:pPr>
              <w:spacing w:line="300" w:lineRule="exact"/>
              <w:jc w:val="center"/>
              <w:rPr>
                <w:rFonts w:ascii="微软雅黑" w:hAnsi="微软雅黑" w:eastAsia="微软雅黑" w:cs="微软雅黑"/>
              </w:rPr>
            </w:pPr>
          </w:p>
        </w:tc>
        <w:tc>
          <w:tcPr>
            <w:tcW w:w="1442" w:type="dxa"/>
            <w:vAlign w:val="center"/>
          </w:tcPr>
          <w:p>
            <w:pPr>
              <w:jc w:val="center"/>
              <w:rPr>
                <w:rFonts w:ascii="微软雅黑" w:hAnsi="微软雅黑" w:eastAsia="微软雅黑" w:cs="微软雅黑"/>
              </w:rPr>
            </w:pPr>
          </w:p>
        </w:tc>
        <w:tc>
          <w:tcPr>
            <w:tcW w:w="1400" w:type="dxa"/>
          </w:tcPr>
          <w:p>
            <w:pPr>
              <w:jc w:val="center"/>
              <w:rPr>
                <w:rFonts w:ascii="微软雅黑" w:hAnsi="微软雅黑" w:eastAsia="微软雅黑" w:cs="微软雅黑"/>
              </w:rPr>
            </w:pPr>
          </w:p>
        </w:tc>
        <w:tc>
          <w:tcPr>
            <w:tcW w:w="1400" w:type="dxa"/>
            <w:vMerge w:val="continue"/>
            <w:vAlign w:val="center"/>
          </w:tcPr>
          <w:p>
            <w:pPr>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jc w:val="center"/>
              <w:rPr>
                <w:rFonts w:ascii="宋体" w:hAnsi="宋体" w:cs="微软雅黑"/>
                <w:szCs w:val="21"/>
              </w:rPr>
            </w:pPr>
            <w:r>
              <w:rPr>
                <w:rFonts w:hint="eastAsia" w:ascii="宋体" w:hAnsi="宋体" w:cs="微软雅黑"/>
                <w:szCs w:val="21"/>
              </w:rPr>
              <w:t>3</w:t>
            </w:r>
          </w:p>
        </w:tc>
        <w:tc>
          <w:tcPr>
            <w:tcW w:w="1689" w:type="dxa"/>
            <w:vAlign w:val="center"/>
          </w:tcPr>
          <w:p>
            <w:pPr>
              <w:jc w:val="center"/>
              <w:rPr>
                <w:rFonts w:ascii="宋体" w:hAnsi="宋体" w:cs="微软雅黑"/>
                <w:szCs w:val="21"/>
              </w:rPr>
            </w:pPr>
          </w:p>
        </w:tc>
        <w:tc>
          <w:tcPr>
            <w:tcW w:w="1086" w:type="dxa"/>
            <w:vAlign w:val="center"/>
          </w:tcPr>
          <w:p>
            <w:pPr>
              <w:jc w:val="center"/>
              <w:rPr>
                <w:rFonts w:ascii="宋体" w:hAnsi="宋体" w:cs="微软雅黑"/>
                <w:szCs w:val="21"/>
              </w:rPr>
            </w:pPr>
          </w:p>
        </w:tc>
        <w:tc>
          <w:tcPr>
            <w:tcW w:w="1267" w:type="dxa"/>
            <w:vAlign w:val="center"/>
          </w:tcPr>
          <w:p>
            <w:pPr>
              <w:jc w:val="center"/>
              <w:rPr>
                <w:rFonts w:ascii="微软雅黑" w:hAnsi="微软雅黑" w:eastAsia="微软雅黑" w:cs="微软雅黑"/>
              </w:rPr>
            </w:pPr>
          </w:p>
        </w:tc>
        <w:tc>
          <w:tcPr>
            <w:tcW w:w="1191" w:type="dxa"/>
            <w:vAlign w:val="center"/>
          </w:tcPr>
          <w:p>
            <w:pPr>
              <w:spacing w:line="300" w:lineRule="exact"/>
              <w:jc w:val="center"/>
              <w:rPr>
                <w:rFonts w:ascii="微软雅黑" w:hAnsi="微软雅黑" w:eastAsia="微软雅黑" w:cs="微软雅黑"/>
              </w:rPr>
            </w:pPr>
          </w:p>
        </w:tc>
        <w:tc>
          <w:tcPr>
            <w:tcW w:w="1442" w:type="dxa"/>
            <w:vAlign w:val="center"/>
          </w:tcPr>
          <w:p>
            <w:pPr>
              <w:jc w:val="center"/>
              <w:rPr>
                <w:rFonts w:ascii="微软雅黑" w:hAnsi="微软雅黑" w:eastAsia="微软雅黑" w:cs="微软雅黑"/>
              </w:rPr>
            </w:pPr>
          </w:p>
        </w:tc>
        <w:tc>
          <w:tcPr>
            <w:tcW w:w="1400" w:type="dxa"/>
          </w:tcPr>
          <w:p>
            <w:pPr>
              <w:jc w:val="center"/>
              <w:rPr>
                <w:rFonts w:ascii="微软雅黑" w:hAnsi="微软雅黑" w:eastAsia="微软雅黑" w:cs="微软雅黑"/>
              </w:rPr>
            </w:pPr>
          </w:p>
        </w:tc>
        <w:tc>
          <w:tcPr>
            <w:tcW w:w="1400" w:type="dxa"/>
            <w:vMerge w:val="continue"/>
            <w:vAlign w:val="center"/>
          </w:tcPr>
          <w:p>
            <w:pPr>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jc w:val="center"/>
              <w:rPr>
                <w:rFonts w:ascii="宋体" w:hAnsi="宋体" w:cs="微软雅黑"/>
                <w:szCs w:val="21"/>
              </w:rPr>
            </w:pPr>
            <w:r>
              <w:rPr>
                <w:rFonts w:hint="eastAsia" w:ascii="宋体" w:hAnsi="宋体" w:cs="微软雅黑"/>
                <w:szCs w:val="21"/>
              </w:rPr>
              <w:t>4</w:t>
            </w:r>
          </w:p>
        </w:tc>
        <w:tc>
          <w:tcPr>
            <w:tcW w:w="1689" w:type="dxa"/>
            <w:vAlign w:val="center"/>
          </w:tcPr>
          <w:p>
            <w:pPr>
              <w:jc w:val="center"/>
              <w:rPr>
                <w:rFonts w:ascii="宋体" w:hAnsi="宋体" w:cs="微软雅黑"/>
                <w:szCs w:val="21"/>
              </w:rPr>
            </w:pPr>
          </w:p>
        </w:tc>
        <w:tc>
          <w:tcPr>
            <w:tcW w:w="1086" w:type="dxa"/>
            <w:vAlign w:val="center"/>
          </w:tcPr>
          <w:p>
            <w:pPr>
              <w:jc w:val="center"/>
              <w:rPr>
                <w:rFonts w:ascii="宋体" w:hAnsi="宋体" w:cs="微软雅黑"/>
                <w:szCs w:val="21"/>
              </w:rPr>
            </w:pPr>
          </w:p>
        </w:tc>
        <w:tc>
          <w:tcPr>
            <w:tcW w:w="1267" w:type="dxa"/>
            <w:vAlign w:val="center"/>
          </w:tcPr>
          <w:p>
            <w:pPr>
              <w:jc w:val="center"/>
              <w:rPr>
                <w:rFonts w:ascii="微软雅黑" w:hAnsi="微软雅黑" w:eastAsia="微软雅黑" w:cs="微软雅黑"/>
              </w:rPr>
            </w:pPr>
          </w:p>
        </w:tc>
        <w:tc>
          <w:tcPr>
            <w:tcW w:w="1191" w:type="dxa"/>
            <w:vAlign w:val="center"/>
          </w:tcPr>
          <w:p>
            <w:pPr>
              <w:spacing w:line="300" w:lineRule="exact"/>
              <w:jc w:val="center"/>
              <w:rPr>
                <w:rFonts w:ascii="微软雅黑" w:hAnsi="微软雅黑" w:eastAsia="微软雅黑" w:cs="微软雅黑"/>
              </w:rPr>
            </w:pPr>
          </w:p>
        </w:tc>
        <w:tc>
          <w:tcPr>
            <w:tcW w:w="1442" w:type="dxa"/>
            <w:vAlign w:val="center"/>
          </w:tcPr>
          <w:p>
            <w:pPr>
              <w:jc w:val="center"/>
              <w:rPr>
                <w:rFonts w:ascii="微软雅黑" w:hAnsi="微软雅黑" w:eastAsia="微软雅黑" w:cs="微软雅黑"/>
              </w:rPr>
            </w:pPr>
          </w:p>
        </w:tc>
        <w:tc>
          <w:tcPr>
            <w:tcW w:w="1400" w:type="dxa"/>
          </w:tcPr>
          <w:p>
            <w:pPr>
              <w:jc w:val="center"/>
              <w:rPr>
                <w:rFonts w:ascii="微软雅黑" w:hAnsi="微软雅黑" w:eastAsia="微软雅黑" w:cs="微软雅黑"/>
              </w:rPr>
            </w:pPr>
          </w:p>
        </w:tc>
        <w:tc>
          <w:tcPr>
            <w:tcW w:w="1400" w:type="dxa"/>
            <w:vMerge w:val="continue"/>
            <w:vAlign w:val="center"/>
          </w:tcPr>
          <w:p>
            <w:pPr>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jc w:val="center"/>
              <w:rPr>
                <w:rFonts w:ascii="宋体" w:hAnsi="宋体" w:cs="微软雅黑"/>
                <w:szCs w:val="21"/>
              </w:rPr>
            </w:pPr>
            <w:r>
              <w:rPr>
                <w:rFonts w:hint="eastAsia" w:ascii="宋体" w:hAnsi="宋体" w:cs="微软雅黑"/>
                <w:szCs w:val="21"/>
              </w:rPr>
              <w:t>5</w:t>
            </w:r>
          </w:p>
        </w:tc>
        <w:tc>
          <w:tcPr>
            <w:tcW w:w="1689" w:type="dxa"/>
            <w:vAlign w:val="center"/>
          </w:tcPr>
          <w:p>
            <w:pPr>
              <w:jc w:val="center"/>
              <w:rPr>
                <w:rFonts w:ascii="宋体" w:hAnsi="宋体" w:cs="微软雅黑"/>
                <w:szCs w:val="21"/>
              </w:rPr>
            </w:pPr>
          </w:p>
        </w:tc>
        <w:tc>
          <w:tcPr>
            <w:tcW w:w="1086" w:type="dxa"/>
            <w:vAlign w:val="center"/>
          </w:tcPr>
          <w:p>
            <w:pPr>
              <w:jc w:val="center"/>
              <w:rPr>
                <w:rFonts w:ascii="宋体" w:hAnsi="宋体" w:cs="微软雅黑"/>
                <w:szCs w:val="21"/>
              </w:rPr>
            </w:pPr>
          </w:p>
        </w:tc>
        <w:tc>
          <w:tcPr>
            <w:tcW w:w="1267" w:type="dxa"/>
            <w:vAlign w:val="center"/>
          </w:tcPr>
          <w:p>
            <w:pPr>
              <w:jc w:val="center"/>
              <w:rPr>
                <w:rFonts w:ascii="微软雅黑" w:hAnsi="微软雅黑" w:eastAsia="微软雅黑" w:cs="微软雅黑"/>
              </w:rPr>
            </w:pPr>
          </w:p>
        </w:tc>
        <w:tc>
          <w:tcPr>
            <w:tcW w:w="1191" w:type="dxa"/>
            <w:vAlign w:val="center"/>
          </w:tcPr>
          <w:p>
            <w:pPr>
              <w:spacing w:line="300" w:lineRule="exact"/>
              <w:jc w:val="center"/>
              <w:rPr>
                <w:rFonts w:ascii="微软雅黑" w:hAnsi="微软雅黑" w:eastAsia="微软雅黑" w:cs="微软雅黑"/>
              </w:rPr>
            </w:pPr>
          </w:p>
        </w:tc>
        <w:tc>
          <w:tcPr>
            <w:tcW w:w="1442" w:type="dxa"/>
            <w:vAlign w:val="center"/>
          </w:tcPr>
          <w:p>
            <w:pPr>
              <w:jc w:val="center"/>
              <w:rPr>
                <w:rFonts w:ascii="微软雅黑" w:hAnsi="微软雅黑" w:eastAsia="微软雅黑" w:cs="微软雅黑"/>
              </w:rPr>
            </w:pPr>
          </w:p>
        </w:tc>
        <w:tc>
          <w:tcPr>
            <w:tcW w:w="1400" w:type="dxa"/>
          </w:tcPr>
          <w:p>
            <w:pPr>
              <w:jc w:val="center"/>
              <w:rPr>
                <w:rFonts w:ascii="微软雅黑" w:hAnsi="微软雅黑" w:eastAsia="微软雅黑" w:cs="微软雅黑"/>
              </w:rPr>
            </w:pPr>
          </w:p>
        </w:tc>
        <w:tc>
          <w:tcPr>
            <w:tcW w:w="1400" w:type="dxa"/>
            <w:vMerge w:val="continue"/>
            <w:vAlign w:val="center"/>
          </w:tcPr>
          <w:p>
            <w:pPr>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jc w:val="center"/>
              <w:rPr>
                <w:rFonts w:ascii="宋体" w:hAnsi="宋体" w:cs="微软雅黑"/>
                <w:szCs w:val="21"/>
              </w:rPr>
            </w:pPr>
            <w:r>
              <w:rPr>
                <w:rFonts w:hint="eastAsia" w:ascii="宋体" w:hAnsi="宋体" w:cs="微软雅黑"/>
                <w:szCs w:val="21"/>
              </w:rPr>
              <w:t>6</w:t>
            </w:r>
          </w:p>
        </w:tc>
        <w:tc>
          <w:tcPr>
            <w:tcW w:w="1689" w:type="dxa"/>
            <w:vAlign w:val="center"/>
          </w:tcPr>
          <w:p>
            <w:pPr>
              <w:jc w:val="center"/>
              <w:rPr>
                <w:rFonts w:ascii="宋体" w:hAnsi="宋体" w:cs="微软雅黑"/>
                <w:szCs w:val="21"/>
              </w:rPr>
            </w:pPr>
          </w:p>
        </w:tc>
        <w:tc>
          <w:tcPr>
            <w:tcW w:w="1086" w:type="dxa"/>
            <w:vAlign w:val="center"/>
          </w:tcPr>
          <w:p>
            <w:pPr>
              <w:jc w:val="center"/>
              <w:rPr>
                <w:rFonts w:ascii="宋体" w:hAnsi="宋体" w:cs="微软雅黑"/>
                <w:szCs w:val="21"/>
              </w:rPr>
            </w:pPr>
          </w:p>
        </w:tc>
        <w:tc>
          <w:tcPr>
            <w:tcW w:w="1267" w:type="dxa"/>
            <w:vAlign w:val="center"/>
          </w:tcPr>
          <w:p>
            <w:pPr>
              <w:jc w:val="center"/>
              <w:rPr>
                <w:rFonts w:ascii="微软雅黑" w:hAnsi="微软雅黑" w:eastAsia="微软雅黑" w:cs="微软雅黑"/>
              </w:rPr>
            </w:pPr>
          </w:p>
        </w:tc>
        <w:tc>
          <w:tcPr>
            <w:tcW w:w="1191" w:type="dxa"/>
            <w:vAlign w:val="center"/>
          </w:tcPr>
          <w:p>
            <w:pPr>
              <w:spacing w:line="300" w:lineRule="exact"/>
              <w:jc w:val="center"/>
              <w:rPr>
                <w:rFonts w:ascii="微软雅黑" w:hAnsi="微软雅黑" w:eastAsia="微软雅黑" w:cs="微软雅黑"/>
              </w:rPr>
            </w:pPr>
          </w:p>
        </w:tc>
        <w:tc>
          <w:tcPr>
            <w:tcW w:w="1442" w:type="dxa"/>
            <w:vAlign w:val="center"/>
          </w:tcPr>
          <w:p>
            <w:pPr>
              <w:jc w:val="center"/>
              <w:rPr>
                <w:rFonts w:ascii="微软雅黑" w:hAnsi="微软雅黑" w:eastAsia="微软雅黑" w:cs="微软雅黑"/>
              </w:rPr>
            </w:pPr>
          </w:p>
        </w:tc>
        <w:tc>
          <w:tcPr>
            <w:tcW w:w="1400" w:type="dxa"/>
          </w:tcPr>
          <w:p>
            <w:pPr>
              <w:jc w:val="center"/>
              <w:rPr>
                <w:rFonts w:ascii="微软雅黑" w:hAnsi="微软雅黑" w:eastAsia="微软雅黑" w:cs="微软雅黑"/>
              </w:rPr>
            </w:pPr>
          </w:p>
        </w:tc>
        <w:tc>
          <w:tcPr>
            <w:tcW w:w="1400" w:type="dxa"/>
            <w:vMerge w:val="continue"/>
            <w:vAlign w:val="center"/>
          </w:tcPr>
          <w:p>
            <w:pPr>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jc w:val="center"/>
              <w:rPr>
                <w:rFonts w:ascii="宋体" w:hAnsi="宋体" w:cs="微软雅黑"/>
                <w:szCs w:val="21"/>
              </w:rPr>
            </w:pPr>
            <w:r>
              <w:rPr>
                <w:rFonts w:hint="eastAsia" w:ascii="宋体" w:hAnsi="宋体" w:cs="微软雅黑"/>
                <w:szCs w:val="21"/>
              </w:rPr>
              <w:t>7</w:t>
            </w:r>
          </w:p>
        </w:tc>
        <w:tc>
          <w:tcPr>
            <w:tcW w:w="1689" w:type="dxa"/>
            <w:vAlign w:val="center"/>
          </w:tcPr>
          <w:p>
            <w:pPr>
              <w:jc w:val="center"/>
              <w:rPr>
                <w:rFonts w:ascii="宋体" w:hAnsi="宋体" w:cs="微软雅黑"/>
                <w:szCs w:val="21"/>
              </w:rPr>
            </w:pPr>
          </w:p>
        </w:tc>
        <w:tc>
          <w:tcPr>
            <w:tcW w:w="1086" w:type="dxa"/>
            <w:vAlign w:val="center"/>
          </w:tcPr>
          <w:p>
            <w:pPr>
              <w:jc w:val="center"/>
              <w:rPr>
                <w:rFonts w:ascii="宋体" w:hAnsi="宋体" w:cs="微软雅黑"/>
                <w:szCs w:val="21"/>
              </w:rPr>
            </w:pPr>
          </w:p>
        </w:tc>
        <w:tc>
          <w:tcPr>
            <w:tcW w:w="1267" w:type="dxa"/>
            <w:vAlign w:val="center"/>
          </w:tcPr>
          <w:p>
            <w:pPr>
              <w:jc w:val="center"/>
              <w:rPr>
                <w:rFonts w:ascii="微软雅黑" w:hAnsi="微软雅黑" w:eastAsia="微软雅黑" w:cs="微软雅黑"/>
              </w:rPr>
            </w:pPr>
          </w:p>
        </w:tc>
        <w:tc>
          <w:tcPr>
            <w:tcW w:w="1191" w:type="dxa"/>
            <w:vAlign w:val="center"/>
          </w:tcPr>
          <w:p>
            <w:pPr>
              <w:spacing w:line="300" w:lineRule="exact"/>
              <w:jc w:val="center"/>
              <w:rPr>
                <w:rFonts w:ascii="微软雅黑" w:hAnsi="微软雅黑" w:eastAsia="微软雅黑" w:cs="微软雅黑"/>
                <w:sz w:val="24"/>
              </w:rPr>
            </w:pPr>
          </w:p>
        </w:tc>
        <w:tc>
          <w:tcPr>
            <w:tcW w:w="1442" w:type="dxa"/>
            <w:vAlign w:val="center"/>
          </w:tcPr>
          <w:p>
            <w:pPr>
              <w:jc w:val="center"/>
              <w:rPr>
                <w:rFonts w:ascii="微软雅黑" w:hAnsi="微软雅黑" w:eastAsia="微软雅黑" w:cs="微软雅黑"/>
              </w:rPr>
            </w:pPr>
          </w:p>
        </w:tc>
        <w:tc>
          <w:tcPr>
            <w:tcW w:w="1400" w:type="dxa"/>
          </w:tcPr>
          <w:p>
            <w:pPr>
              <w:jc w:val="center"/>
              <w:rPr>
                <w:rFonts w:ascii="微软雅黑" w:hAnsi="微软雅黑" w:eastAsia="微软雅黑" w:cs="微软雅黑"/>
              </w:rPr>
            </w:pPr>
          </w:p>
        </w:tc>
        <w:tc>
          <w:tcPr>
            <w:tcW w:w="1400" w:type="dxa"/>
            <w:vMerge w:val="continue"/>
            <w:vAlign w:val="center"/>
          </w:tcPr>
          <w:p>
            <w:pPr>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jc w:val="center"/>
              <w:rPr>
                <w:rFonts w:ascii="宋体" w:hAnsi="宋体" w:cs="微软雅黑"/>
                <w:szCs w:val="21"/>
              </w:rPr>
            </w:pPr>
            <w:r>
              <w:rPr>
                <w:rFonts w:hint="eastAsia" w:ascii="宋体" w:hAnsi="宋体" w:cs="微软雅黑"/>
                <w:szCs w:val="21"/>
              </w:rPr>
              <w:t>8</w:t>
            </w:r>
          </w:p>
        </w:tc>
        <w:tc>
          <w:tcPr>
            <w:tcW w:w="1689" w:type="dxa"/>
            <w:vAlign w:val="center"/>
          </w:tcPr>
          <w:p>
            <w:pPr>
              <w:jc w:val="center"/>
              <w:rPr>
                <w:rFonts w:ascii="宋体" w:hAnsi="宋体" w:cs="微软雅黑"/>
                <w:szCs w:val="21"/>
              </w:rPr>
            </w:pPr>
          </w:p>
        </w:tc>
        <w:tc>
          <w:tcPr>
            <w:tcW w:w="1086" w:type="dxa"/>
            <w:vAlign w:val="center"/>
          </w:tcPr>
          <w:p>
            <w:pPr>
              <w:jc w:val="center"/>
              <w:rPr>
                <w:rFonts w:ascii="宋体" w:hAnsi="宋体" w:cs="微软雅黑"/>
                <w:szCs w:val="21"/>
              </w:rPr>
            </w:pPr>
          </w:p>
        </w:tc>
        <w:tc>
          <w:tcPr>
            <w:tcW w:w="1267" w:type="dxa"/>
            <w:vAlign w:val="center"/>
          </w:tcPr>
          <w:p>
            <w:pPr>
              <w:jc w:val="center"/>
              <w:rPr>
                <w:rFonts w:ascii="微软雅黑" w:hAnsi="微软雅黑" w:eastAsia="微软雅黑" w:cs="微软雅黑"/>
              </w:rPr>
            </w:pPr>
          </w:p>
        </w:tc>
        <w:tc>
          <w:tcPr>
            <w:tcW w:w="1191" w:type="dxa"/>
            <w:vAlign w:val="center"/>
          </w:tcPr>
          <w:p>
            <w:pPr>
              <w:spacing w:line="300" w:lineRule="exact"/>
              <w:jc w:val="center"/>
              <w:rPr>
                <w:rFonts w:ascii="微软雅黑" w:hAnsi="微软雅黑" w:eastAsia="微软雅黑" w:cs="微软雅黑"/>
                <w:sz w:val="24"/>
              </w:rPr>
            </w:pPr>
          </w:p>
        </w:tc>
        <w:tc>
          <w:tcPr>
            <w:tcW w:w="1442" w:type="dxa"/>
            <w:vAlign w:val="center"/>
          </w:tcPr>
          <w:p>
            <w:pPr>
              <w:jc w:val="center"/>
              <w:rPr>
                <w:rFonts w:ascii="微软雅黑" w:hAnsi="微软雅黑" w:eastAsia="微软雅黑" w:cs="微软雅黑"/>
              </w:rPr>
            </w:pPr>
          </w:p>
        </w:tc>
        <w:tc>
          <w:tcPr>
            <w:tcW w:w="1400" w:type="dxa"/>
          </w:tcPr>
          <w:p>
            <w:pPr>
              <w:jc w:val="center"/>
              <w:rPr>
                <w:rFonts w:ascii="微软雅黑" w:hAnsi="微软雅黑" w:eastAsia="微软雅黑" w:cs="微软雅黑"/>
              </w:rPr>
            </w:pPr>
          </w:p>
        </w:tc>
        <w:tc>
          <w:tcPr>
            <w:tcW w:w="1400" w:type="dxa"/>
            <w:vMerge w:val="continue"/>
            <w:vAlign w:val="center"/>
          </w:tcPr>
          <w:p>
            <w:pPr>
              <w:jc w:val="center"/>
              <w:rPr>
                <w:rFonts w:ascii="微软雅黑" w:hAnsi="微软雅黑" w:eastAsia="微软雅黑" w:cs="微软雅黑"/>
              </w:rPr>
            </w:pPr>
          </w:p>
        </w:tc>
      </w:tr>
    </w:tbl>
    <w:p>
      <w:pPr>
        <w:jc w:val="left"/>
        <w:rPr>
          <w:rFonts w:hint="eastAsia" w:ascii="宋体" w:hAnsi="宋体"/>
          <w:b/>
          <w:bCs/>
          <w:spacing w:val="6"/>
          <w:sz w:val="24"/>
        </w:rPr>
      </w:pPr>
    </w:p>
    <w:p>
      <w:pPr>
        <w:ind w:firstLine="1265"/>
        <w:jc w:val="center"/>
        <w:rPr>
          <w:rFonts w:hint="eastAsia" w:ascii="宋体" w:hAnsi="宋体"/>
          <w:b/>
          <w:bCs/>
          <w:spacing w:val="6"/>
          <w:sz w:val="24"/>
          <w:lang w:val="en-US"/>
        </w:rPr>
      </w:pPr>
    </w:p>
    <w:p>
      <w:pPr>
        <w:pStyle w:val="4"/>
        <w:spacing w:before="0" w:after="0" w:line="360" w:lineRule="auto"/>
        <w:ind w:firstLine="1265"/>
        <w:jc w:val="left"/>
        <w:sectPr>
          <w:pgSz w:w="11906" w:h="16838"/>
          <w:pgMar w:top="1440" w:right="1800" w:bottom="1440" w:left="1800" w:header="851" w:footer="992" w:gutter="0"/>
          <w:cols w:space="425" w:num="1"/>
          <w:docGrid w:type="lines" w:linePitch="312" w:charSpace="0"/>
        </w:sectPr>
      </w:pPr>
      <w:r>
        <w:rPr>
          <w:rFonts w:hint="eastAsia" w:ascii="宋体" w:hAnsi="宋体"/>
          <w:bCs w:val="0"/>
          <w:spacing w:val="6"/>
          <w:sz w:val="24"/>
          <w:szCs w:val="24"/>
          <w:lang w:val="en-US"/>
        </w:rPr>
        <w:t>9</w:t>
      </w:r>
      <w:r>
        <w:rPr>
          <w:rFonts w:hint="eastAsia" w:ascii="宋体" w:hAnsi="宋体"/>
          <w:bCs w:val="0"/>
          <w:spacing w:val="6"/>
          <w:sz w:val="24"/>
          <w:szCs w:val="24"/>
        </w:rPr>
        <w:t>、供应商认为应该提供的其它书面证明材料</w:t>
      </w:r>
      <w:bookmarkEnd w:id="192"/>
      <w:r>
        <w:rPr>
          <w:rFonts w:hAnsi="宋体"/>
          <w:color w:val="000000"/>
        </w:rPr>
        <w:tab/>
      </w:r>
      <w:bookmarkEnd w:id="164"/>
      <w:bookmarkEnd w:id="165"/>
      <w:bookmarkEnd w:id="166"/>
      <w:bookmarkEnd w:id="167"/>
    </w:p>
    <w:p>
      <w:pPr>
        <w:pStyle w:val="2"/>
        <w:jc w:val="both"/>
        <w:rPr>
          <w:rFonts w:ascii="宋体" w:hAnsi="宋体"/>
          <w:bCs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50602020203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细黑">
    <w:altName w:val="Arial Unicode MS"/>
    <w:panose1 w:val="02010600040101010101"/>
    <w:charset w:val="86"/>
    <w:family w:val="auto"/>
    <w:pitch w:val="default"/>
    <w:sig w:usb0="00000000" w:usb1="00000000" w:usb2="00000010" w:usb3="00000000" w:csb0="0004009F"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584039"/>
    </w:sdtPr>
    <w:sdtContent>
      <w:p>
        <w:pPr>
          <w:pStyle w:val="27"/>
          <w:jc w:val="center"/>
        </w:pPr>
        <w:r>
          <w:fldChar w:fldCharType="begin"/>
        </w:r>
        <w:r>
          <w:instrText xml:space="preserve">PAGE   \* MERGEFORMAT</w:instrText>
        </w:r>
        <w:r>
          <w:fldChar w:fldCharType="separate"/>
        </w:r>
        <w:r>
          <w:rPr>
            <w:lang w:val="zh-CN"/>
          </w:rPr>
          <w:t>8</w:t>
        </w:r>
        <w: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1"/>
      <w:lvlText w:val="%1."/>
      <w:lvlJc w:val="left"/>
      <w:pPr>
        <w:tabs>
          <w:tab w:val="left" w:pos="780"/>
        </w:tabs>
        <w:ind w:left="780" w:leftChars="200" w:hanging="360" w:hangingChars="200"/>
      </w:pPr>
    </w:lvl>
  </w:abstractNum>
  <w:abstractNum w:abstractNumId="1">
    <w:nsid w:val="0000000B"/>
    <w:multiLevelType w:val="multilevel"/>
    <w:tmpl w:val="0000000B"/>
    <w:lvl w:ilvl="0" w:tentative="0">
      <w:start w:val="1"/>
      <w:numFmt w:val="decimal"/>
      <w:lvlText w:val="%1"/>
      <w:lvlJc w:val="center"/>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796FA9"/>
    <w:multiLevelType w:val="singleLevel"/>
    <w:tmpl w:val="3D796FA9"/>
    <w:lvl w:ilvl="0" w:tentative="0">
      <w:start w:val="6"/>
      <w:numFmt w:val="decimal"/>
      <w:suff w:val="nothing"/>
      <w:lvlText w:val="%1、"/>
      <w:lvlJc w:val="left"/>
    </w:lvl>
  </w:abstractNum>
  <w:abstractNum w:abstractNumId="3">
    <w:nsid w:val="446F2AB9"/>
    <w:multiLevelType w:val="multilevel"/>
    <w:tmpl w:val="446F2A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EB396F"/>
    <w:multiLevelType w:val="multilevel"/>
    <w:tmpl w:val="47EB39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A220D5"/>
    <w:multiLevelType w:val="multilevel"/>
    <w:tmpl w:val="62A220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1F46BE"/>
    <w:multiLevelType w:val="multilevel"/>
    <w:tmpl w:val="731F46BE"/>
    <w:lvl w:ilvl="0" w:tentative="0">
      <w:start w:val="2"/>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B70081"/>
    <w:multiLevelType w:val="multilevel"/>
    <w:tmpl w:val="73B700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195B9E"/>
    <w:multiLevelType w:val="multilevel"/>
    <w:tmpl w:val="76195B9E"/>
    <w:lvl w:ilvl="0" w:tentative="0">
      <w:start w:val="1"/>
      <w:numFmt w:val="chineseCountingThousand"/>
      <w:suff w:val="nothing"/>
      <w:lvlText w:val="%1、"/>
      <w:lvlJc w:val="left"/>
      <w:pPr>
        <w:ind w:left="863" w:hanging="420"/>
      </w:pPr>
      <w:rPr>
        <w:lang w:val="en-US"/>
      </w:rPr>
    </w:lvl>
    <w:lvl w:ilvl="1" w:tentative="0">
      <w:start w:val="1"/>
      <w:numFmt w:val="lowerLetter"/>
      <w:lvlText w:val="%2)"/>
      <w:lvlJc w:val="left"/>
      <w:pPr>
        <w:ind w:left="1283" w:hanging="420"/>
      </w:pPr>
    </w:lvl>
    <w:lvl w:ilvl="2" w:tentative="0">
      <w:start w:val="1"/>
      <w:numFmt w:val="lowerRoman"/>
      <w:lvlText w:val="%3."/>
      <w:lvlJc w:val="right"/>
      <w:pPr>
        <w:ind w:left="1703" w:hanging="420"/>
      </w:pPr>
    </w:lvl>
    <w:lvl w:ilvl="3" w:tentative="0">
      <w:start w:val="1"/>
      <w:numFmt w:val="chineseCountingThousand"/>
      <w:suff w:val="nothing"/>
      <w:lvlText w:val="%4、"/>
      <w:lvlJc w:val="left"/>
      <w:pPr>
        <w:ind w:left="0" w:firstLine="568"/>
      </w:pPr>
    </w:lvl>
    <w:lvl w:ilvl="4" w:tentative="0">
      <w:start w:val="1"/>
      <w:numFmt w:val="lowerLetter"/>
      <w:lvlText w:val="%5)"/>
      <w:lvlJc w:val="left"/>
      <w:pPr>
        <w:ind w:left="2543" w:hanging="420"/>
      </w:pPr>
    </w:lvl>
    <w:lvl w:ilvl="5" w:tentative="0">
      <w:start w:val="1"/>
      <w:numFmt w:val="lowerRoman"/>
      <w:lvlText w:val="%6."/>
      <w:lvlJc w:val="right"/>
      <w:pPr>
        <w:ind w:left="2963" w:hanging="420"/>
      </w:pPr>
    </w:lvl>
    <w:lvl w:ilvl="6" w:tentative="0">
      <w:start w:val="1"/>
      <w:numFmt w:val="decimal"/>
      <w:lvlText w:val="%7."/>
      <w:lvlJc w:val="left"/>
      <w:pPr>
        <w:ind w:left="3383" w:hanging="420"/>
      </w:pPr>
    </w:lvl>
    <w:lvl w:ilvl="7" w:tentative="0">
      <w:start w:val="1"/>
      <w:numFmt w:val="lowerLetter"/>
      <w:lvlText w:val="%8)"/>
      <w:lvlJc w:val="left"/>
      <w:pPr>
        <w:ind w:left="3803" w:hanging="420"/>
      </w:pPr>
    </w:lvl>
    <w:lvl w:ilvl="8" w:tentative="0">
      <w:start w:val="1"/>
      <w:numFmt w:val="lowerRoman"/>
      <w:lvlText w:val="%9."/>
      <w:lvlJc w:val="right"/>
      <w:pPr>
        <w:ind w:left="4223" w:hanging="420"/>
      </w:pPr>
    </w:lvl>
  </w:abstractNum>
  <w:abstractNum w:abstractNumId="9">
    <w:nsid w:val="7EBD6253"/>
    <w:multiLevelType w:val="multilevel"/>
    <w:tmpl w:val="7EBD62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5"/>
  </w:num>
  <w:num w:numId="6">
    <w:abstractNumId w:val="3"/>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ZWY0NDBiNmZiZDY3M2M3NDIxZDE5YmMwY2IzODQifQ=="/>
  </w:docVars>
  <w:rsids>
    <w:rsidRoot w:val="00935C1E"/>
    <w:rsid w:val="000163C3"/>
    <w:rsid w:val="000617F8"/>
    <w:rsid w:val="0007386B"/>
    <w:rsid w:val="000D4B47"/>
    <w:rsid w:val="00114644"/>
    <w:rsid w:val="00123802"/>
    <w:rsid w:val="00181EF7"/>
    <w:rsid w:val="001C0783"/>
    <w:rsid w:val="001E00C5"/>
    <w:rsid w:val="001F6B0A"/>
    <w:rsid w:val="0020688E"/>
    <w:rsid w:val="002237FC"/>
    <w:rsid w:val="0023060B"/>
    <w:rsid w:val="002C4DC1"/>
    <w:rsid w:val="002E78FD"/>
    <w:rsid w:val="00360A5C"/>
    <w:rsid w:val="003856D8"/>
    <w:rsid w:val="00396673"/>
    <w:rsid w:val="00410405"/>
    <w:rsid w:val="0044433F"/>
    <w:rsid w:val="0045050C"/>
    <w:rsid w:val="004677C6"/>
    <w:rsid w:val="00491A5B"/>
    <w:rsid w:val="004C0A7D"/>
    <w:rsid w:val="004D15A2"/>
    <w:rsid w:val="004D599C"/>
    <w:rsid w:val="00522AA5"/>
    <w:rsid w:val="00542E7D"/>
    <w:rsid w:val="005467F5"/>
    <w:rsid w:val="005959D8"/>
    <w:rsid w:val="00631780"/>
    <w:rsid w:val="00660043"/>
    <w:rsid w:val="00674EA7"/>
    <w:rsid w:val="006A6BD7"/>
    <w:rsid w:val="006B3547"/>
    <w:rsid w:val="006E560C"/>
    <w:rsid w:val="007649B6"/>
    <w:rsid w:val="00773682"/>
    <w:rsid w:val="007A2D0B"/>
    <w:rsid w:val="008060D4"/>
    <w:rsid w:val="00852B4A"/>
    <w:rsid w:val="00861E42"/>
    <w:rsid w:val="00870E16"/>
    <w:rsid w:val="00871B66"/>
    <w:rsid w:val="008A3823"/>
    <w:rsid w:val="00935C1E"/>
    <w:rsid w:val="009A78FA"/>
    <w:rsid w:val="009F1893"/>
    <w:rsid w:val="00A02FCE"/>
    <w:rsid w:val="00A20755"/>
    <w:rsid w:val="00A3089D"/>
    <w:rsid w:val="00A627BC"/>
    <w:rsid w:val="00AB53CA"/>
    <w:rsid w:val="00AB606F"/>
    <w:rsid w:val="00AC5AC5"/>
    <w:rsid w:val="00AD5AE7"/>
    <w:rsid w:val="00AD7EE9"/>
    <w:rsid w:val="00B06240"/>
    <w:rsid w:val="00BE5942"/>
    <w:rsid w:val="00BF71D5"/>
    <w:rsid w:val="00C0471C"/>
    <w:rsid w:val="00C41B03"/>
    <w:rsid w:val="00C4675F"/>
    <w:rsid w:val="00C47588"/>
    <w:rsid w:val="00C56FB6"/>
    <w:rsid w:val="00C772D9"/>
    <w:rsid w:val="00CB3829"/>
    <w:rsid w:val="00CC7335"/>
    <w:rsid w:val="00D2396F"/>
    <w:rsid w:val="00D33CD1"/>
    <w:rsid w:val="00D41D71"/>
    <w:rsid w:val="00DC27C6"/>
    <w:rsid w:val="00E0120A"/>
    <w:rsid w:val="00E37FBC"/>
    <w:rsid w:val="00E41177"/>
    <w:rsid w:val="00E55550"/>
    <w:rsid w:val="00EA0559"/>
    <w:rsid w:val="00EE0B9C"/>
    <w:rsid w:val="00EF0787"/>
    <w:rsid w:val="00EF7A16"/>
    <w:rsid w:val="00F01F4A"/>
    <w:rsid w:val="00F32120"/>
    <w:rsid w:val="00F35056"/>
    <w:rsid w:val="00F35EFF"/>
    <w:rsid w:val="00F65EA2"/>
    <w:rsid w:val="00FA2D2E"/>
    <w:rsid w:val="00FE3C13"/>
    <w:rsid w:val="044052BD"/>
    <w:rsid w:val="05373674"/>
    <w:rsid w:val="06C13B3D"/>
    <w:rsid w:val="06DD23E1"/>
    <w:rsid w:val="07302A71"/>
    <w:rsid w:val="07BA4E29"/>
    <w:rsid w:val="07C75183"/>
    <w:rsid w:val="0A0E72EC"/>
    <w:rsid w:val="0F4C2412"/>
    <w:rsid w:val="0FD45742"/>
    <w:rsid w:val="118E286E"/>
    <w:rsid w:val="119E15A8"/>
    <w:rsid w:val="14907138"/>
    <w:rsid w:val="15F175AF"/>
    <w:rsid w:val="1A420699"/>
    <w:rsid w:val="1AE10342"/>
    <w:rsid w:val="1B3F1245"/>
    <w:rsid w:val="1BC66C9F"/>
    <w:rsid w:val="1CEA28A9"/>
    <w:rsid w:val="1CF163A7"/>
    <w:rsid w:val="1D28001A"/>
    <w:rsid w:val="1D835251"/>
    <w:rsid w:val="1EF06916"/>
    <w:rsid w:val="207F54C3"/>
    <w:rsid w:val="21621621"/>
    <w:rsid w:val="21F04E7F"/>
    <w:rsid w:val="223B2E57"/>
    <w:rsid w:val="22B3238F"/>
    <w:rsid w:val="238B745B"/>
    <w:rsid w:val="23E7405F"/>
    <w:rsid w:val="23F067A7"/>
    <w:rsid w:val="2444261C"/>
    <w:rsid w:val="267E6EFD"/>
    <w:rsid w:val="274D0515"/>
    <w:rsid w:val="275F0ADD"/>
    <w:rsid w:val="27CF5E83"/>
    <w:rsid w:val="283459EC"/>
    <w:rsid w:val="297665B1"/>
    <w:rsid w:val="2A3A313B"/>
    <w:rsid w:val="2A8E2976"/>
    <w:rsid w:val="2B667F60"/>
    <w:rsid w:val="2C22657D"/>
    <w:rsid w:val="2C653F7F"/>
    <w:rsid w:val="2E3E2BEC"/>
    <w:rsid w:val="2E4335BB"/>
    <w:rsid w:val="2FA41BAF"/>
    <w:rsid w:val="2FBF1363"/>
    <w:rsid w:val="2FD47B8E"/>
    <w:rsid w:val="31771268"/>
    <w:rsid w:val="34496D9C"/>
    <w:rsid w:val="353579C1"/>
    <w:rsid w:val="36274EBB"/>
    <w:rsid w:val="367E6AA5"/>
    <w:rsid w:val="385843DF"/>
    <w:rsid w:val="39B53C0B"/>
    <w:rsid w:val="3A777A93"/>
    <w:rsid w:val="3ADC6682"/>
    <w:rsid w:val="3B4E13C9"/>
    <w:rsid w:val="3B603A8B"/>
    <w:rsid w:val="3CE8111C"/>
    <w:rsid w:val="3ED92ACB"/>
    <w:rsid w:val="3FB5617C"/>
    <w:rsid w:val="3FC80684"/>
    <w:rsid w:val="4098671C"/>
    <w:rsid w:val="4182569C"/>
    <w:rsid w:val="41B02ABF"/>
    <w:rsid w:val="41E9571B"/>
    <w:rsid w:val="42B20202"/>
    <w:rsid w:val="43F8556B"/>
    <w:rsid w:val="446F7A2D"/>
    <w:rsid w:val="45A35BE1"/>
    <w:rsid w:val="4620324E"/>
    <w:rsid w:val="47D63008"/>
    <w:rsid w:val="4825142E"/>
    <w:rsid w:val="49D62A28"/>
    <w:rsid w:val="4A25750C"/>
    <w:rsid w:val="4AEB71E3"/>
    <w:rsid w:val="4B212D24"/>
    <w:rsid w:val="4BB450C8"/>
    <w:rsid w:val="4CC0176E"/>
    <w:rsid w:val="4CEA2347"/>
    <w:rsid w:val="4E8E4AB1"/>
    <w:rsid w:val="4FA406EE"/>
    <w:rsid w:val="4FDF015D"/>
    <w:rsid w:val="50000807"/>
    <w:rsid w:val="50D61560"/>
    <w:rsid w:val="51583D23"/>
    <w:rsid w:val="528B1ED6"/>
    <w:rsid w:val="534A7FE3"/>
    <w:rsid w:val="53563E95"/>
    <w:rsid w:val="55753C35"/>
    <w:rsid w:val="58C07262"/>
    <w:rsid w:val="59C5577F"/>
    <w:rsid w:val="5A7631BE"/>
    <w:rsid w:val="5B084899"/>
    <w:rsid w:val="5B9C6F02"/>
    <w:rsid w:val="5E5062A9"/>
    <w:rsid w:val="5E8C325E"/>
    <w:rsid w:val="5E91002A"/>
    <w:rsid w:val="5F8D54E0"/>
    <w:rsid w:val="616D381B"/>
    <w:rsid w:val="61E810F3"/>
    <w:rsid w:val="6716225F"/>
    <w:rsid w:val="67A708BB"/>
    <w:rsid w:val="67AD0324"/>
    <w:rsid w:val="696C5E51"/>
    <w:rsid w:val="6B6E08BB"/>
    <w:rsid w:val="6B8735B1"/>
    <w:rsid w:val="6C9C6D62"/>
    <w:rsid w:val="6DF57072"/>
    <w:rsid w:val="6E8E3022"/>
    <w:rsid w:val="6F4F27D0"/>
    <w:rsid w:val="6F7F05D4"/>
    <w:rsid w:val="72BD3ED6"/>
    <w:rsid w:val="72C256B4"/>
    <w:rsid w:val="73A531BA"/>
    <w:rsid w:val="73B5111B"/>
    <w:rsid w:val="74421282"/>
    <w:rsid w:val="7476258E"/>
    <w:rsid w:val="75E06960"/>
    <w:rsid w:val="760616F0"/>
    <w:rsid w:val="76C71F82"/>
    <w:rsid w:val="78035172"/>
    <w:rsid w:val="790F4152"/>
    <w:rsid w:val="7A835FF5"/>
    <w:rsid w:val="7E2272E3"/>
    <w:rsid w:val="7E50541F"/>
    <w:rsid w:val="7EB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semiHidden="0"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qFormat="1"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1"/>
    <w:autoRedefine/>
    <w:qFormat/>
    <w:uiPriority w:val="99"/>
    <w:pPr>
      <w:keepNext/>
      <w:keepLines/>
      <w:spacing w:line="360" w:lineRule="auto"/>
      <w:jc w:val="center"/>
      <w:outlineLvl w:val="0"/>
    </w:pPr>
    <w:rPr>
      <w:b/>
      <w:bCs/>
      <w:kern w:val="44"/>
      <w:sz w:val="44"/>
      <w:szCs w:val="44"/>
      <w:lang w:val="zh-CN"/>
    </w:rPr>
  </w:style>
  <w:style w:type="paragraph" w:styleId="3">
    <w:name w:val="heading 2"/>
    <w:basedOn w:val="1"/>
    <w:next w:val="1"/>
    <w:link w:val="202"/>
    <w:autoRedefine/>
    <w:semiHidden/>
    <w:unhideWhenUsed/>
    <w:qFormat/>
    <w:uiPriority w:val="99"/>
    <w:pPr>
      <w:keepNext/>
      <w:keepLines/>
      <w:autoSpaceDE w:val="0"/>
      <w:autoSpaceDN w:val="0"/>
      <w:adjustRightInd w:val="0"/>
      <w:spacing w:before="120" w:line="300" w:lineRule="auto"/>
      <w:jc w:val="center"/>
      <w:outlineLvl w:val="1"/>
    </w:pPr>
    <w:rPr>
      <w:rFonts w:ascii="Arial" w:hAnsi="Arial"/>
      <w:b/>
      <w:kern w:val="0"/>
      <w:sz w:val="30"/>
      <w:szCs w:val="20"/>
      <w:lang w:val="zh-CN"/>
    </w:rPr>
  </w:style>
  <w:style w:type="paragraph" w:styleId="4">
    <w:name w:val="heading 3"/>
    <w:basedOn w:val="1"/>
    <w:next w:val="1"/>
    <w:link w:val="48"/>
    <w:autoRedefine/>
    <w:unhideWhenUsed/>
    <w:qFormat/>
    <w:uiPriority w:val="99"/>
    <w:pPr>
      <w:keepNext/>
      <w:keepLines/>
      <w:spacing w:line="360" w:lineRule="auto"/>
      <w:ind w:firstLine="420" w:firstLineChars="200"/>
      <w:contextualSpacing/>
      <w:outlineLvl w:val="2"/>
    </w:pPr>
    <w:rPr>
      <w:rFonts w:ascii="宋体" w:hAnsi="宋体"/>
      <w:b/>
      <w:bCs/>
      <w:sz w:val="24"/>
      <w:lang w:val="zh-CN"/>
    </w:rPr>
  </w:style>
  <w:style w:type="paragraph" w:styleId="5">
    <w:name w:val="heading 4"/>
    <w:basedOn w:val="1"/>
    <w:next w:val="1"/>
    <w:link w:val="218"/>
    <w:autoRedefine/>
    <w:semiHidden/>
    <w:unhideWhenUsed/>
    <w:qFormat/>
    <w:uiPriority w:val="99"/>
    <w:pPr>
      <w:keepNext/>
      <w:keepLines/>
      <w:spacing w:before="280" w:after="290" w:line="374" w:lineRule="auto"/>
      <w:outlineLvl w:val="3"/>
    </w:pPr>
    <w:rPr>
      <w:rFonts w:ascii="Cambria" w:hAnsi="Cambria" w:cs="宋体"/>
      <w:b/>
      <w:bCs/>
      <w:sz w:val="28"/>
      <w:szCs w:val="28"/>
      <w:lang w:val="zh-CN"/>
    </w:rPr>
  </w:style>
  <w:style w:type="paragraph" w:styleId="6">
    <w:name w:val="heading 5"/>
    <w:basedOn w:val="1"/>
    <w:next w:val="1"/>
    <w:link w:val="230"/>
    <w:autoRedefine/>
    <w:semiHidden/>
    <w:unhideWhenUsed/>
    <w:qFormat/>
    <w:uiPriority w:val="99"/>
    <w:pPr>
      <w:keepNext/>
      <w:keepLines/>
      <w:spacing w:before="280" w:after="290" w:line="374" w:lineRule="auto"/>
      <w:outlineLvl w:val="4"/>
    </w:pPr>
    <w:rPr>
      <w:b/>
      <w:bCs/>
      <w:sz w:val="28"/>
      <w:szCs w:val="28"/>
      <w:lang w:val="zh-CN"/>
    </w:rPr>
  </w:style>
  <w:style w:type="paragraph" w:styleId="7">
    <w:name w:val="heading 6"/>
    <w:basedOn w:val="1"/>
    <w:next w:val="1"/>
    <w:link w:val="220"/>
    <w:autoRedefine/>
    <w:semiHidden/>
    <w:unhideWhenUsed/>
    <w:qFormat/>
    <w:uiPriority w:val="99"/>
    <w:pPr>
      <w:keepNext/>
      <w:keepLines/>
      <w:spacing w:before="240" w:after="64" w:line="319" w:lineRule="auto"/>
      <w:outlineLvl w:val="5"/>
    </w:pPr>
    <w:rPr>
      <w:rFonts w:ascii="Cambria" w:hAnsi="Cambria" w:cs="宋体"/>
      <w:b/>
      <w:bCs/>
      <w:sz w:val="24"/>
      <w:lang w:val="zh-CN"/>
    </w:rPr>
  </w:style>
  <w:style w:type="paragraph" w:styleId="8">
    <w:name w:val="heading 7"/>
    <w:basedOn w:val="1"/>
    <w:next w:val="1"/>
    <w:link w:val="213"/>
    <w:autoRedefine/>
    <w:semiHidden/>
    <w:unhideWhenUsed/>
    <w:qFormat/>
    <w:uiPriority w:val="99"/>
    <w:pPr>
      <w:keepNext/>
      <w:keepLines/>
      <w:adjustRightInd w:val="0"/>
      <w:spacing w:before="240" w:after="64" w:line="320" w:lineRule="atLeast"/>
      <w:outlineLvl w:val="6"/>
    </w:pPr>
    <w:rPr>
      <w:b/>
      <w:kern w:val="0"/>
      <w:sz w:val="24"/>
      <w:szCs w:val="20"/>
      <w:lang w:val="zh-CN"/>
    </w:rPr>
  </w:style>
  <w:style w:type="paragraph" w:styleId="9">
    <w:name w:val="heading 8"/>
    <w:basedOn w:val="1"/>
    <w:next w:val="1"/>
    <w:link w:val="188"/>
    <w:autoRedefine/>
    <w:semiHidden/>
    <w:unhideWhenUsed/>
    <w:qFormat/>
    <w:uiPriority w:val="99"/>
    <w:pPr>
      <w:keepNext/>
      <w:keepLines/>
      <w:adjustRightInd w:val="0"/>
      <w:spacing w:before="240" w:after="64" w:line="320" w:lineRule="atLeast"/>
      <w:outlineLvl w:val="7"/>
    </w:pPr>
    <w:rPr>
      <w:rFonts w:ascii="Arial" w:hAnsi="Arial" w:eastAsia="黑体"/>
      <w:kern w:val="0"/>
      <w:sz w:val="24"/>
      <w:szCs w:val="20"/>
      <w:lang w:val="zh-CN"/>
    </w:rPr>
  </w:style>
  <w:style w:type="paragraph" w:styleId="10">
    <w:name w:val="heading 9"/>
    <w:basedOn w:val="1"/>
    <w:next w:val="1"/>
    <w:link w:val="200"/>
    <w:autoRedefine/>
    <w:semiHidden/>
    <w:unhideWhenUsed/>
    <w:qFormat/>
    <w:uiPriority w:val="99"/>
    <w:pPr>
      <w:keepNext/>
      <w:keepLines/>
      <w:adjustRightInd w:val="0"/>
      <w:spacing w:before="240" w:after="64" w:line="320" w:lineRule="atLeast"/>
      <w:outlineLvl w:val="8"/>
    </w:pPr>
    <w:rPr>
      <w:rFonts w:ascii="Arial" w:hAnsi="Arial" w:eastAsia="黑体"/>
      <w:kern w:val="0"/>
      <w:sz w:val="20"/>
      <w:szCs w:val="20"/>
      <w:lang w:val="zh-CN"/>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autoRedefine/>
    <w:unhideWhenUsed/>
    <w:qFormat/>
    <w:uiPriority w:val="99"/>
    <w:pPr>
      <w:numPr>
        <w:ilvl w:val="0"/>
        <w:numId w:val="1"/>
      </w:numPr>
      <w:ind w:left="0" w:leftChars="0" w:firstLine="0" w:firstLineChars="0"/>
    </w:pPr>
    <w:rPr>
      <w:szCs w:val="20"/>
    </w:rPr>
  </w:style>
  <w:style w:type="paragraph" w:styleId="12">
    <w:name w:val="Normal Indent"/>
    <w:basedOn w:val="1"/>
    <w:link w:val="60"/>
    <w:autoRedefine/>
    <w:unhideWhenUsed/>
    <w:qFormat/>
    <w:uiPriority w:val="0"/>
    <w:pPr>
      <w:autoSpaceDE w:val="0"/>
      <w:autoSpaceDN w:val="0"/>
      <w:adjustRightInd w:val="0"/>
      <w:ind w:firstLine="420"/>
      <w:jc w:val="left"/>
    </w:pPr>
    <w:rPr>
      <w:rFonts w:ascii="宋体" w:hAnsi="宋体"/>
      <w:kern w:val="0"/>
      <w:sz w:val="24"/>
      <w:szCs w:val="20"/>
    </w:rPr>
  </w:style>
  <w:style w:type="paragraph" w:styleId="13">
    <w:name w:val="caption"/>
    <w:basedOn w:val="1"/>
    <w:next w:val="1"/>
    <w:autoRedefine/>
    <w:semiHidden/>
    <w:unhideWhenUsed/>
    <w:qFormat/>
    <w:uiPriority w:val="99"/>
    <w:pPr>
      <w:widowControl/>
      <w:overflowPunct w:val="0"/>
      <w:autoSpaceDE w:val="0"/>
      <w:autoSpaceDN w:val="0"/>
      <w:adjustRightInd w:val="0"/>
      <w:spacing w:before="152" w:after="160"/>
      <w:jc w:val="left"/>
    </w:pPr>
    <w:rPr>
      <w:rFonts w:ascii="Arial" w:hAnsi="Arial" w:eastAsia="黑体" w:cs="Arial"/>
      <w:kern w:val="0"/>
      <w:sz w:val="20"/>
      <w:szCs w:val="20"/>
    </w:rPr>
  </w:style>
  <w:style w:type="paragraph" w:styleId="14">
    <w:name w:val="index 5"/>
    <w:basedOn w:val="1"/>
    <w:next w:val="1"/>
    <w:autoRedefine/>
    <w:unhideWhenUsed/>
    <w:qFormat/>
    <w:uiPriority w:val="99"/>
    <w:pPr>
      <w:ind w:left="800" w:leftChars="800"/>
    </w:pPr>
  </w:style>
  <w:style w:type="paragraph" w:styleId="15">
    <w:name w:val="Document Map"/>
    <w:basedOn w:val="1"/>
    <w:link w:val="75"/>
    <w:autoRedefine/>
    <w:unhideWhenUsed/>
    <w:qFormat/>
    <w:uiPriority w:val="99"/>
    <w:pPr>
      <w:shd w:val="clear" w:color="auto" w:fill="000080"/>
    </w:pPr>
    <w:rPr>
      <w:rFonts w:ascii="Calibri" w:hAnsi="Calibri"/>
      <w:kern w:val="0"/>
      <w:sz w:val="20"/>
      <w:szCs w:val="20"/>
    </w:rPr>
  </w:style>
  <w:style w:type="paragraph" w:styleId="16">
    <w:name w:val="annotation text"/>
    <w:basedOn w:val="1"/>
    <w:link w:val="61"/>
    <w:autoRedefine/>
    <w:unhideWhenUsed/>
    <w:qFormat/>
    <w:uiPriority w:val="99"/>
    <w:pPr>
      <w:jc w:val="left"/>
    </w:pPr>
  </w:style>
  <w:style w:type="paragraph" w:styleId="17">
    <w:name w:val="Body Text 3"/>
    <w:basedOn w:val="1"/>
    <w:link w:val="72"/>
    <w:autoRedefine/>
    <w:unhideWhenUsed/>
    <w:qFormat/>
    <w:uiPriority w:val="99"/>
    <w:pPr>
      <w:spacing w:after="120"/>
    </w:pPr>
    <w:rPr>
      <w:kern w:val="0"/>
      <w:sz w:val="16"/>
      <w:szCs w:val="16"/>
    </w:rPr>
  </w:style>
  <w:style w:type="paragraph" w:styleId="18">
    <w:name w:val="Body Text"/>
    <w:basedOn w:val="1"/>
    <w:link w:val="66"/>
    <w:autoRedefine/>
    <w:unhideWhenUsed/>
    <w:qFormat/>
    <w:uiPriority w:val="99"/>
    <w:pPr>
      <w:spacing w:after="120"/>
    </w:pPr>
  </w:style>
  <w:style w:type="paragraph" w:styleId="19">
    <w:name w:val="Body Text Indent"/>
    <w:basedOn w:val="1"/>
    <w:link w:val="67"/>
    <w:autoRedefine/>
    <w:unhideWhenUsed/>
    <w:qFormat/>
    <w:uiPriority w:val="99"/>
    <w:pPr>
      <w:spacing w:line="360" w:lineRule="auto"/>
      <w:ind w:firstLine="420" w:firstLineChars="200"/>
    </w:pPr>
    <w:rPr>
      <w:bCs/>
      <w:szCs w:val="30"/>
    </w:rPr>
  </w:style>
  <w:style w:type="paragraph" w:styleId="20">
    <w:name w:val="List 2"/>
    <w:basedOn w:val="1"/>
    <w:autoRedefine/>
    <w:unhideWhenUsed/>
    <w:qFormat/>
    <w:uiPriority w:val="99"/>
    <w:pPr>
      <w:adjustRightInd w:val="0"/>
      <w:spacing w:line="360" w:lineRule="atLeast"/>
      <w:ind w:left="100" w:leftChars="200" w:hanging="200" w:hangingChars="200"/>
      <w:jc w:val="left"/>
    </w:pPr>
    <w:rPr>
      <w:kern w:val="0"/>
      <w:sz w:val="24"/>
      <w:szCs w:val="20"/>
    </w:rPr>
  </w:style>
  <w:style w:type="paragraph" w:styleId="21">
    <w:name w:val="List Continue"/>
    <w:basedOn w:val="1"/>
    <w:autoRedefine/>
    <w:unhideWhenUsed/>
    <w:qFormat/>
    <w:uiPriority w:val="99"/>
    <w:pPr>
      <w:adjustRightInd w:val="0"/>
      <w:spacing w:after="120" w:line="360" w:lineRule="atLeast"/>
      <w:ind w:left="420" w:leftChars="200"/>
      <w:jc w:val="left"/>
    </w:pPr>
    <w:rPr>
      <w:kern w:val="0"/>
      <w:sz w:val="24"/>
      <w:szCs w:val="20"/>
    </w:rPr>
  </w:style>
  <w:style w:type="paragraph" w:styleId="22">
    <w:name w:val="Block Text"/>
    <w:basedOn w:val="1"/>
    <w:autoRedefine/>
    <w:unhideWhenUsed/>
    <w:qFormat/>
    <w:uiPriority w:val="99"/>
    <w:pPr>
      <w:spacing w:after="120"/>
      <w:ind w:left="1440" w:leftChars="700" w:right="1440" w:rightChars="700"/>
    </w:pPr>
  </w:style>
  <w:style w:type="paragraph" w:styleId="23">
    <w:name w:val="Plain Text"/>
    <w:basedOn w:val="1"/>
    <w:link w:val="76"/>
    <w:autoRedefine/>
    <w:unhideWhenUsed/>
    <w:qFormat/>
    <w:uiPriority w:val="99"/>
    <w:rPr>
      <w:rFonts w:ascii="宋体" w:hAnsi="Courier New"/>
      <w:szCs w:val="20"/>
    </w:rPr>
  </w:style>
  <w:style w:type="paragraph" w:styleId="24">
    <w:name w:val="Date"/>
    <w:basedOn w:val="1"/>
    <w:next w:val="1"/>
    <w:link w:val="68"/>
    <w:autoRedefine/>
    <w:unhideWhenUsed/>
    <w:qFormat/>
    <w:uiPriority w:val="99"/>
    <w:pPr>
      <w:ind w:left="100" w:leftChars="2500"/>
    </w:pPr>
  </w:style>
  <w:style w:type="paragraph" w:styleId="25">
    <w:name w:val="Body Text Indent 2"/>
    <w:basedOn w:val="1"/>
    <w:link w:val="73"/>
    <w:autoRedefine/>
    <w:unhideWhenUsed/>
    <w:qFormat/>
    <w:uiPriority w:val="99"/>
    <w:pPr>
      <w:spacing w:after="120" w:line="480" w:lineRule="auto"/>
      <w:ind w:left="420" w:leftChars="200"/>
    </w:pPr>
  </w:style>
  <w:style w:type="paragraph" w:styleId="26">
    <w:name w:val="Balloon Text"/>
    <w:basedOn w:val="1"/>
    <w:link w:val="78"/>
    <w:autoRedefine/>
    <w:unhideWhenUsed/>
    <w:qFormat/>
    <w:uiPriority w:val="99"/>
    <w:rPr>
      <w:sz w:val="18"/>
      <w:szCs w:val="18"/>
    </w:rPr>
  </w:style>
  <w:style w:type="paragraph" w:styleId="27">
    <w:name w:val="footer"/>
    <w:basedOn w:val="1"/>
    <w:link w:val="63"/>
    <w:autoRedefine/>
    <w:unhideWhenUsed/>
    <w:qFormat/>
    <w:uiPriority w:val="99"/>
    <w:pPr>
      <w:tabs>
        <w:tab w:val="center" w:pos="4153"/>
        <w:tab w:val="right" w:pos="8306"/>
      </w:tabs>
      <w:snapToGrid w:val="0"/>
      <w:jc w:val="left"/>
    </w:pPr>
    <w:rPr>
      <w:sz w:val="18"/>
      <w:szCs w:val="18"/>
    </w:rPr>
  </w:style>
  <w:style w:type="paragraph" w:styleId="28">
    <w:name w:val="header"/>
    <w:basedOn w:val="1"/>
    <w:link w:val="6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unhideWhenUsed/>
    <w:qFormat/>
    <w:uiPriority w:val="39"/>
  </w:style>
  <w:style w:type="paragraph" w:styleId="30">
    <w:name w:val="Subtitle"/>
    <w:basedOn w:val="1"/>
    <w:link w:val="64"/>
    <w:autoRedefine/>
    <w:qFormat/>
    <w:uiPriority w:val="99"/>
    <w:pPr>
      <w:spacing w:before="240" w:after="60" w:line="312" w:lineRule="auto"/>
      <w:ind w:firstLine="200" w:firstLineChars="200"/>
      <w:jc w:val="center"/>
      <w:outlineLvl w:val="1"/>
    </w:pPr>
    <w:rPr>
      <w:rFonts w:ascii="Arial" w:hAnsi="Arial"/>
      <w:b/>
      <w:bCs/>
      <w:kern w:val="28"/>
      <w:sz w:val="32"/>
      <w:szCs w:val="32"/>
      <w:lang w:eastAsia="zh-TW"/>
    </w:rPr>
  </w:style>
  <w:style w:type="paragraph" w:styleId="31">
    <w:name w:val="List"/>
    <w:basedOn w:val="1"/>
    <w:autoRedefine/>
    <w:unhideWhenUsed/>
    <w:qFormat/>
    <w:uiPriority w:val="99"/>
    <w:pPr>
      <w:adjustRightInd w:val="0"/>
      <w:spacing w:line="360" w:lineRule="atLeast"/>
      <w:ind w:left="420" w:hanging="420"/>
      <w:jc w:val="left"/>
    </w:pPr>
    <w:rPr>
      <w:rFonts w:ascii="宋体"/>
      <w:kern w:val="0"/>
      <w:sz w:val="24"/>
      <w:szCs w:val="20"/>
    </w:rPr>
  </w:style>
  <w:style w:type="paragraph" w:styleId="32">
    <w:name w:val="Body Text Indent 3"/>
    <w:basedOn w:val="1"/>
    <w:link w:val="74"/>
    <w:autoRedefine/>
    <w:unhideWhenUsed/>
    <w:qFormat/>
    <w:uiPriority w:val="99"/>
    <w:pPr>
      <w:spacing w:after="120"/>
      <w:ind w:left="420" w:leftChars="200"/>
    </w:pPr>
    <w:rPr>
      <w:sz w:val="16"/>
      <w:szCs w:val="16"/>
    </w:rPr>
  </w:style>
  <w:style w:type="paragraph" w:styleId="33">
    <w:name w:val="Body Text 2"/>
    <w:basedOn w:val="1"/>
    <w:link w:val="71"/>
    <w:autoRedefine/>
    <w:unhideWhenUsed/>
    <w:qFormat/>
    <w:uiPriority w:val="99"/>
    <w:pPr>
      <w:jc w:val="center"/>
    </w:pPr>
    <w:rPr>
      <w:rFonts w:eastAsia="黑体"/>
      <w:bCs/>
      <w:kern w:val="0"/>
      <w:sz w:val="72"/>
    </w:rPr>
  </w:style>
  <w:style w:type="paragraph" w:styleId="34">
    <w:name w:val="HTML Preformatted"/>
    <w:basedOn w:val="1"/>
    <w:link w:val="5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5">
    <w:name w:val="Normal (Web)"/>
    <w:basedOn w:val="1"/>
    <w:autoRedefine/>
    <w:unhideWhenUsed/>
    <w:qFormat/>
    <w:uiPriority w:val="99"/>
    <w:pPr>
      <w:widowControl/>
      <w:tabs>
        <w:tab w:val="right" w:leader="dot" w:pos="9060"/>
      </w:tabs>
      <w:spacing w:before="100" w:beforeAutospacing="1" w:after="100" w:afterAutospacing="1" w:line="480" w:lineRule="auto"/>
      <w:ind w:firstLine="1200"/>
      <w:jc w:val="left"/>
    </w:pPr>
    <w:rPr>
      <w:rFonts w:ascii="宋体" w:hAnsi="宋体"/>
      <w:caps/>
      <w:kern w:val="0"/>
      <w:sz w:val="28"/>
      <w:szCs w:val="28"/>
    </w:rPr>
  </w:style>
  <w:style w:type="paragraph" w:styleId="36">
    <w:name w:val="index 1"/>
    <w:basedOn w:val="1"/>
    <w:next w:val="1"/>
    <w:autoRedefine/>
    <w:unhideWhenUsed/>
    <w:qFormat/>
    <w:uiPriority w:val="99"/>
    <w:pPr>
      <w:spacing w:line="360" w:lineRule="auto"/>
    </w:pPr>
    <w:rPr>
      <w:rFonts w:ascii="仿宋_GB2312" w:eastAsia="仿宋_GB2312"/>
      <w:sz w:val="24"/>
      <w:szCs w:val="20"/>
    </w:rPr>
  </w:style>
  <w:style w:type="paragraph" w:styleId="37">
    <w:name w:val="Title"/>
    <w:basedOn w:val="1"/>
    <w:next w:val="30"/>
    <w:link w:val="65"/>
    <w:autoRedefine/>
    <w:qFormat/>
    <w:uiPriority w:val="99"/>
    <w:pPr>
      <w:keepNext/>
      <w:keepLines/>
      <w:spacing w:before="140"/>
      <w:jc w:val="center"/>
    </w:pPr>
    <w:rPr>
      <w:rFonts w:eastAsia="黑体"/>
      <w:b/>
      <w:caps/>
      <w:spacing w:val="60"/>
      <w:kern w:val="20"/>
      <w:sz w:val="48"/>
      <w:szCs w:val="20"/>
    </w:rPr>
  </w:style>
  <w:style w:type="paragraph" w:styleId="38">
    <w:name w:val="annotation subject"/>
    <w:basedOn w:val="16"/>
    <w:next w:val="16"/>
    <w:link w:val="77"/>
    <w:autoRedefine/>
    <w:unhideWhenUsed/>
    <w:qFormat/>
    <w:uiPriority w:val="99"/>
    <w:rPr>
      <w:b/>
      <w:bCs/>
    </w:rPr>
  </w:style>
  <w:style w:type="paragraph" w:styleId="39">
    <w:name w:val="Body Text First Indent"/>
    <w:basedOn w:val="18"/>
    <w:link w:val="216"/>
    <w:autoRedefine/>
    <w:unhideWhenUsed/>
    <w:qFormat/>
    <w:uiPriority w:val="99"/>
    <w:pPr>
      <w:ind w:firstLine="420" w:firstLineChars="100"/>
    </w:pPr>
    <w:rPr>
      <w:lang w:eastAsia="zh-TW"/>
    </w:rPr>
  </w:style>
  <w:style w:type="paragraph" w:styleId="40">
    <w:name w:val="Body Text First Indent 2"/>
    <w:basedOn w:val="19"/>
    <w:link w:val="177"/>
    <w:autoRedefine/>
    <w:unhideWhenUsed/>
    <w:qFormat/>
    <w:uiPriority w:val="99"/>
    <w:pPr>
      <w:spacing w:after="120" w:line="240" w:lineRule="auto"/>
      <w:ind w:left="420" w:leftChars="200"/>
    </w:pPr>
    <w:rPr>
      <w:rFonts w:ascii="Calibri" w:hAnsi="Calibri"/>
      <w:szCs w:val="24"/>
    </w:rPr>
  </w:style>
  <w:style w:type="table" w:styleId="42">
    <w:name w:val="Table Grid"/>
    <w:basedOn w:val="4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FollowedHyperlink"/>
    <w:autoRedefine/>
    <w:unhideWhenUsed/>
    <w:qFormat/>
    <w:uiPriority w:val="99"/>
    <w:rPr>
      <w:color w:val="800080"/>
      <w:u w:val="single"/>
    </w:rPr>
  </w:style>
  <w:style w:type="character" w:styleId="45">
    <w:name w:val="Emphasis"/>
    <w:autoRedefine/>
    <w:qFormat/>
    <w:uiPriority w:val="20"/>
    <w:rPr>
      <w:color w:val="CC0000"/>
    </w:rPr>
  </w:style>
  <w:style w:type="character" w:styleId="46">
    <w:name w:val="Hyperlink"/>
    <w:autoRedefine/>
    <w:unhideWhenUsed/>
    <w:qFormat/>
    <w:uiPriority w:val="99"/>
    <w:rPr>
      <w:color w:val="0000FF"/>
      <w:u w:val="single"/>
    </w:rPr>
  </w:style>
  <w:style w:type="character" w:styleId="47">
    <w:name w:val="annotation reference"/>
    <w:autoRedefine/>
    <w:unhideWhenUsed/>
    <w:qFormat/>
    <w:uiPriority w:val="99"/>
    <w:rPr>
      <w:sz w:val="21"/>
      <w:szCs w:val="21"/>
    </w:rPr>
  </w:style>
  <w:style w:type="character" w:customStyle="1" w:styleId="48">
    <w:name w:val="标题 3 字符1"/>
    <w:link w:val="4"/>
    <w:autoRedefine/>
    <w:qFormat/>
    <w:locked/>
    <w:uiPriority w:val="99"/>
    <w:rPr>
      <w:rFonts w:ascii="宋体" w:hAnsi="宋体" w:eastAsia="宋体" w:cs="Times New Roman"/>
      <w:b/>
      <w:bCs/>
      <w:kern w:val="2"/>
      <w:sz w:val="24"/>
      <w:szCs w:val="24"/>
      <w:lang w:val="zh-CN" w:eastAsia="zh-CN" w:bidi="ar-SA"/>
    </w:rPr>
  </w:style>
  <w:style w:type="character" w:customStyle="1" w:styleId="49">
    <w:name w:val="标题 1 字符"/>
    <w:basedOn w:val="43"/>
    <w:autoRedefine/>
    <w:qFormat/>
    <w:uiPriority w:val="9"/>
    <w:rPr>
      <w:b/>
      <w:bCs/>
      <w:kern w:val="44"/>
      <w:sz w:val="44"/>
      <w:szCs w:val="44"/>
    </w:rPr>
  </w:style>
  <w:style w:type="character" w:customStyle="1" w:styleId="50">
    <w:name w:val="标题 2 字符"/>
    <w:basedOn w:val="43"/>
    <w:autoRedefine/>
    <w:semiHidden/>
    <w:qFormat/>
    <w:uiPriority w:val="9"/>
    <w:rPr>
      <w:rFonts w:asciiTheme="majorHAnsi" w:hAnsiTheme="majorHAnsi" w:eastAsiaTheme="majorEastAsia" w:cstheme="majorBidi"/>
      <w:b/>
      <w:bCs/>
      <w:kern w:val="2"/>
      <w:sz w:val="32"/>
      <w:szCs w:val="32"/>
    </w:rPr>
  </w:style>
  <w:style w:type="character" w:customStyle="1" w:styleId="51">
    <w:name w:val="标题 3 字符"/>
    <w:basedOn w:val="43"/>
    <w:autoRedefine/>
    <w:semiHidden/>
    <w:qFormat/>
    <w:uiPriority w:val="9"/>
    <w:rPr>
      <w:b/>
      <w:bCs/>
      <w:kern w:val="2"/>
      <w:sz w:val="32"/>
      <w:szCs w:val="32"/>
    </w:rPr>
  </w:style>
  <w:style w:type="character" w:customStyle="1" w:styleId="52">
    <w:name w:val="标题 4 字符"/>
    <w:basedOn w:val="43"/>
    <w:autoRedefine/>
    <w:semiHidden/>
    <w:qFormat/>
    <w:uiPriority w:val="9"/>
    <w:rPr>
      <w:rFonts w:asciiTheme="majorHAnsi" w:hAnsiTheme="majorHAnsi" w:eastAsiaTheme="majorEastAsia" w:cstheme="majorBidi"/>
      <w:b/>
      <w:bCs/>
      <w:kern w:val="2"/>
      <w:sz w:val="28"/>
      <w:szCs w:val="28"/>
    </w:rPr>
  </w:style>
  <w:style w:type="character" w:customStyle="1" w:styleId="53">
    <w:name w:val="标题 5 字符"/>
    <w:basedOn w:val="43"/>
    <w:autoRedefine/>
    <w:semiHidden/>
    <w:qFormat/>
    <w:uiPriority w:val="9"/>
    <w:rPr>
      <w:b/>
      <w:bCs/>
      <w:kern w:val="2"/>
      <w:sz w:val="28"/>
      <w:szCs w:val="28"/>
    </w:rPr>
  </w:style>
  <w:style w:type="character" w:customStyle="1" w:styleId="54">
    <w:name w:val="标题 6 字符"/>
    <w:basedOn w:val="43"/>
    <w:autoRedefine/>
    <w:semiHidden/>
    <w:qFormat/>
    <w:uiPriority w:val="9"/>
    <w:rPr>
      <w:rFonts w:asciiTheme="majorHAnsi" w:hAnsiTheme="majorHAnsi" w:eastAsiaTheme="majorEastAsia" w:cstheme="majorBidi"/>
      <w:b/>
      <w:bCs/>
      <w:kern w:val="2"/>
      <w:sz w:val="24"/>
      <w:szCs w:val="24"/>
    </w:rPr>
  </w:style>
  <w:style w:type="character" w:customStyle="1" w:styleId="55">
    <w:name w:val="标题 7 字符"/>
    <w:basedOn w:val="43"/>
    <w:autoRedefine/>
    <w:semiHidden/>
    <w:qFormat/>
    <w:uiPriority w:val="9"/>
    <w:rPr>
      <w:b/>
      <w:bCs/>
      <w:kern w:val="2"/>
      <w:sz w:val="24"/>
      <w:szCs w:val="24"/>
    </w:rPr>
  </w:style>
  <w:style w:type="character" w:customStyle="1" w:styleId="56">
    <w:name w:val="标题 8 字符"/>
    <w:basedOn w:val="43"/>
    <w:autoRedefine/>
    <w:semiHidden/>
    <w:qFormat/>
    <w:uiPriority w:val="9"/>
    <w:rPr>
      <w:rFonts w:asciiTheme="majorHAnsi" w:hAnsiTheme="majorHAnsi" w:eastAsiaTheme="majorEastAsia" w:cstheme="majorBidi"/>
      <w:kern w:val="2"/>
      <w:sz w:val="24"/>
      <w:szCs w:val="24"/>
    </w:rPr>
  </w:style>
  <w:style w:type="character" w:customStyle="1" w:styleId="57">
    <w:name w:val="标题 9 字符"/>
    <w:basedOn w:val="43"/>
    <w:autoRedefine/>
    <w:semiHidden/>
    <w:qFormat/>
    <w:uiPriority w:val="9"/>
    <w:rPr>
      <w:rFonts w:asciiTheme="majorHAnsi" w:hAnsiTheme="majorHAnsi" w:eastAsiaTheme="majorEastAsia" w:cstheme="majorBidi"/>
      <w:kern w:val="2"/>
      <w:sz w:val="21"/>
      <w:szCs w:val="21"/>
    </w:rPr>
  </w:style>
  <w:style w:type="character" w:customStyle="1" w:styleId="58">
    <w:name w:val="HTML 预设格式 字符"/>
    <w:basedOn w:val="43"/>
    <w:link w:val="34"/>
    <w:autoRedefine/>
    <w:qFormat/>
    <w:uiPriority w:val="0"/>
    <w:rPr>
      <w:rFonts w:ascii="Arial" w:hAnsi="Arial" w:cs="Arial"/>
      <w:sz w:val="24"/>
      <w:szCs w:val="24"/>
    </w:rPr>
  </w:style>
  <w:style w:type="paragraph" w:customStyle="1" w:styleId="59">
    <w:name w:val="msonormal"/>
    <w:basedOn w:val="1"/>
    <w:autoRedefine/>
    <w:qFormat/>
    <w:uiPriority w:val="99"/>
    <w:pPr>
      <w:widowControl/>
      <w:spacing w:before="100" w:beforeAutospacing="1" w:after="100" w:afterAutospacing="1"/>
      <w:jc w:val="left"/>
    </w:pPr>
    <w:rPr>
      <w:rFonts w:ascii="宋体" w:hAnsi="宋体"/>
      <w:kern w:val="0"/>
      <w:sz w:val="24"/>
    </w:rPr>
  </w:style>
  <w:style w:type="character" w:customStyle="1" w:styleId="60">
    <w:name w:val="正文缩进 字符"/>
    <w:link w:val="12"/>
    <w:autoRedefine/>
    <w:qFormat/>
    <w:locked/>
    <w:uiPriority w:val="0"/>
    <w:rPr>
      <w:rFonts w:ascii="宋体" w:hAnsi="宋体"/>
      <w:sz w:val="24"/>
    </w:rPr>
  </w:style>
  <w:style w:type="character" w:customStyle="1" w:styleId="61">
    <w:name w:val="批注文字 字符"/>
    <w:basedOn w:val="43"/>
    <w:link w:val="16"/>
    <w:autoRedefine/>
    <w:qFormat/>
    <w:uiPriority w:val="99"/>
    <w:rPr>
      <w:kern w:val="2"/>
      <w:sz w:val="21"/>
      <w:szCs w:val="24"/>
    </w:rPr>
  </w:style>
  <w:style w:type="character" w:customStyle="1" w:styleId="62">
    <w:name w:val="页眉 字符"/>
    <w:basedOn w:val="43"/>
    <w:link w:val="28"/>
    <w:autoRedefine/>
    <w:qFormat/>
    <w:uiPriority w:val="99"/>
    <w:rPr>
      <w:kern w:val="2"/>
      <w:sz w:val="18"/>
      <w:szCs w:val="18"/>
    </w:rPr>
  </w:style>
  <w:style w:type="character" w:customStyle="1" w:styleId="63">
    <w:name w:val="页脚 字符"/>
    <w:basedOn w:val="43"/>
    <w:link w:val="27"/>
    <w:autoRedefine/>
    <w:qFormat/>
    <w:uiPriority w:val="99"/>
    <w:rPr>
      <w:kern w:val="2"/>
      <w:sz w:val="18"/>
      <w:szCs w:val="18"/>
    </w:rPr>
  </w:style>
  <w:style w:type="character" w:customStyle="1" w:styleId="64">
    <w:name w:val="副标题 字符"/>
    <w:basedOn w:val="43"/>
    <w:link w:val="30"/>
    <w:autoRedefine/>
    <w:qFormat/>
    <w:uiPriority w:val="99"/>
    <w:rPr>
      <w:rFonts w:ascii="Arial" w:hAnsi="Arial"/>
      <w:b/>
      <w:bCs/>
      <w:kern w:val="28"/>
      <w:sz w:val="32"/>
      <w:szCs w:val="32"/>
      <w:lang w:eastAsia="zh-TW"/>
    </w:rPr>
  </w:style>
  <w:style w:type="character" w:customStyle="1" w:styleId="65">
    <w:name w:val="标题 字符"/>
    <w:basedOn w:val="43"/>
    <w:link w:val="37"/>
    <w:autoRedefine/>
    <w:qFormat/>
    <w:uiPriority w:val="99"/>
    <w:rPr>
      <w:rFonts w:eastAsia="黑体"/>
      <w:b/>
      <w:caps/>
      <w:spacing w:val="60"/>
      <w:kern w:val="20"/>
      <w:sz w:val="48"/>
    </w:rPr>
  </w:style>
  <w:style w:type="character" w:customStyle="1" w:styleId="66">
    <w:name w:val="正文文本 字符"/>
    <w:basedOn w:val="43"/>
    <w:link w:val="18"/>
    <w:autoRedefine/>
    <w:qFormat/>
    <w:uiPriority w:val="99"/>
    <w:rPr>
      <w:kern w:val="2"/>
      <w:sz w:val="21"/>
      <w:szCs w:val="24"/>
    </w:rPr>
  </w:style>
  <w:style w:type="character" w:customStyle="1" w:styleId="67">
    <w:name w:val="正文文本缩进 字符"/>
    <w:basedOn w:val="43"/>
    <w:link w:val="19"/>
    <w:autoRedefine/>
    <w:qFormat/>
    <w:uiPriority w:val="99"/>
    <w:rPr>
      <w:bCs/>
      <w:kern w:val="2"/>
      <w:sz w:val="21"/>
      <w:szCs w:val="30"/>
    </w:rPr>
  </w:style>
  <w:style w:type="character" w:customStyle="1" w:styleId="68">
    <w:name w:val="日期 字符"/>
    <w:basedOn w:val="43"/>
    <w:link w:val="24"/>
    <w:autoRedefine/>
    <w:qFormat/>
    <w:uiPriority w:val="99"/>
    <w:rPr>
      <w:kern w:val="2"/>
      <w:sz w:val="21"/>
      <w:szCs w:val="24"/>
    </w:rPr>
  </w:style>
  <w:style w:type="character" w:customStyle="1" w:styleId="69">
    <w:name w:val="正文文本首行缩进 字符"/>
    <w:basedOn w:val="66"/>
    <w:autoRedefine/>
    <w:qFormat/>
    <w:uiPriority w:val="99"/>
    <w:rPr>
      <w:kern w:val="2"/>
      <w:sz w:val="21"/>
      <w:szCs w:val="24"/>
    </w:rPr>
  </w:style>
  <w:style w:type="character" w:customStyle="1" w:styleId="70">
    <w:name w:val="正文文本首行缩进 2 字符"/>
    <w:basedOn w:val="67"/>
    <w:autoRedefine/>
    <w:qFormat/>
    <w:uiPriority w:val="99"/>
    <w:rPr>
      <w:kern w:val="2"/>
      <w:sz w:val="21"/>
      <w:szCs w:val="30"/>
    </w:rPr>
  </w:style>
  <w:style w:type="character" w:customStyle="1" w:styleId="71">
    <w:name w:val="正文文本 2 字符"/>
    <w:basedOn w:val="43"/>
    <w:link w:val="33"/>
    <w:autoRedefine/>
    <w:qFormat/>
    <w:uiPriority w:val="99"/>
    <w:rPr>
      <w:rFonts w:eastAsia="黑体"/>
      <w:bCs/>
      <w:sz w:val="72"/>
      <w:szCs w:val="24"/>
    </w:rPr>
  </w:style>
  <w:style w:type="character" w:customStyle="1" w:styleId="72">
    <w:name w:val="正文文本 3 字符"/>
    <w:basedOn w:val="43"/>
    <w:link w:val="17"/>
    <w:autoRedefine/>
    <w:qFormat/>
    <w:uiPriority w:val="99"/>
    <w:rPr>
      <w:sz w:val="16"/>
      <w:szCs w:val="16"/>
    </w:rPr>
  </w:style>
  <w:style w:type="character" w:customStyle="1" w:styleId="73">
    <w:name w:val="正文文本缩进 2 字符"/>
    <w:basedOn w:val="43"/>
    <w:link w:val="25"/>
    <w:autoRedefine/>
    <w:qFormat/>
    <w:uiPriority w:val="99"/>
    <w:rPr>
      <w:kern w:val="2"/>
      <w:sz w:val="21"/>
      <w:szCs w:val="24"/>
    </w:rPr>
  </w:style>
  <w:style w:type="character" w:customStyle="1" w:styleId="74">
    <w:name w:val="正文文本缩进 3 字符"/>
    <w:basedOn w:val="43"/>
    <w:link w:val="32"/>
    <w:autoRedefine/>
    <w:qFormat/>
    <w:uiPriority w:val="99"/>
    <w:rPr>
      <w:kern w:val="2"/>
      <w:sz w:val="16"/>
      <w:szCs w:val="16"/>
    </w:rPr>
  </w:style>
  <w:style w:type="character" w:customStyle="1" w:styleId="75">
    <w:name w:val="文档结构图 字符"/>
    <w:basedOn w:val="43"/>
    <w:link w:val="15"/>
    <w:autoRedefine/>
    <w:qFormat/>
    <w:uiPriority w:val="99"/>
    <w:rPr>
      <w:rFonts w:ascii="Calibri" w:hAnsi="Calibri"/>
      <w:shd w:val="clear" w:color="auto" w:fill="000080"/>
    </w:rPr>
  </w:style>
  <w:style w:type="character" w:customStyle="1" w:styleId="76">
    <w:name w:val="纯文本 字符"/>
    <w:basedOn w:val="43"/>
    <w:link w:val="23"/>
    <w:autoRedefine/>
    <w:qFormat/>
    <w:uiPriority w:val="99"/>
    <w:rPr>
      <w:rFonts w:ascii="宋体" w:hAnsi="Courier New"/>
      <w:kern w:val="2"/>
      <w:sz w:val="21"/>
    </w:rPr>
  </w:style>
  <w:style w:type="character" w:customStyle="1" w:styleId="77">
    <w:name w:val="批注主题 字符"/>
    <w:basedOn w:val="61"/>
    <w:link w:val="38"/>
    <w:autoRedefine/>
    <w:qFormat/>
    <w:uiPriority w:val="99"/>
    <w:rPr>
      <w:b/>
      <w:bCs/>
      <w:kern w:val="2"/>
      <w:sz w:val="21"/>
      <w:szCs w:val="24"/>
    </w:rPr>
  </w:style>
  <w:style w:type="character" w:customStyle="1" w:styleId="78">
    <w:name w:val="批注框文本 字符"/>
    <w:basedOn w:val="43"/>
    <w:link w:val="26"/>
    <w:autoRedefine/>
    <w:qFormat/>
    <w:uiPriority w:val="99"/>
    <w:rPr>
      <w:kern w:val="2"/>
      <w:sz w:val="18"/>
      <w:szCs w:val="18"/>
    </w:rPr>
  </w:style>
  <w:style w:type="character" w:customStyle="1" w:styleId="79">
    <w:name w:val="无间隔 字符1"/>
    <w:link w:val="80"/>
    <w:autoRedefine/>
    <w:qFormat/>
    <w:locked/>
    <w:uiPriority w:val="1"/>
    <w:rPr>
      <w:sz w:val="22"/>
      <w:szCs w:val="22"/>
    </w:rPr>
  </w:style>
  <w:style w:type="paragraph" w:styleId="80">
    <w:name w:val="No Spacing"/>
    <w:link w:val="79"/>
    <w:autoRedefine/>
    <w:qFormat/>
    <w:uiPriority w:val="1"/>
    <w:rPr>
      <w:rFonts w:ascii="Times New Roman" w:hAnsi="Times New Roman" w:eastAsia="宋体" w:cs="Times New Roman"/>
      <w:sz w:val="22"/>
      <w:szCs w:val="22"/>
      <w:lang w:val="en-US" w:eastAsia="zh-CN" w:bidi="ar-SA"/>
    </w:rPr>
  </w:style>
  <w:style w:type="character" w:customStyle="1" w:styleId="81">
    <w:name w:val="列表段落 字符"/>
    <w:link w:val="82"/>
    <w:autoRedefine/>
    <w:qFormat/>
    <w:locked/>
    <w:uiPriority w:val="34"/>
    <w:rPr>
      <w:kern w:val="2"/>
      <w:sz w:val="21"/>
      <w:szCs w:val="24"/>
    </w:rPr>
  </w:style>
  <w:style w:type="paragraph" w:styleId="82">
    <w:name w:val="List Paragraph"/>
    <w:basedOn w:val="1"/>
    <w:link w:val="81"/>
    <w:autoRedefine/>
    <w:qFormat/>
    <w:uiPriority w:val="34"/>
    <w:pPr>
      <w:ind w:firstLine="420" w:firstLineChars="200"/>
    </w:pPr>
  </w:style>
  <w:style w:type="paragraph" w:customStyle="1" w:styleId="83">
    <w:name w:val="TOC 标题1"/>
    <w:basedOn w:val="2"/>
    <w:next w:val="1"/>
    <w:autoRedefine/>
    <w:semiHidden/>
    <w:unhideWhenUsed/>
    <w:qFormat/>
    <w:uiPriority w:val="39"/>
    <w:pPr>
      <w:widowControl/>
      <w:spacing w:before="480" w:line="276" w:lineRule="auto"/>
      <w:jc w:val="left"/>
      <w:outlineLvl w:val="9"/>
    </w:pPr>
    <w:rPr>
      <w:rFonts w:ascii="Cambria" w:hAnsi="Cambria"/>
      <w:color w:val="365F91"/>
      <w:kern w:val="0"/>
      <w:sz w:val="28"/>
      <w:szCs w:val="28"/>
      <w:lang w:val="en-US"/>
    </w:rPr>
  </w:style>
  <w:style w:type="paragraph" w:customStyle="1" w:styleId="84">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6">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
    <w:name w:val="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8">
    <w:name w:val="Normal_0"/>
    <w:autoRedefine/>
    <w:qFormat/>
    <w:uiPriority w:val="99"/>
    <w:pPr>
      <w:spacing w:before="120" w:after="240"/>
      <w:jc w:val="both"/>
    </w:pPr>
    <w:rPr>
      <w:rFonts w:ascii="Times New Roman" w:hAnsi="Times New Roman" w:eastAsia="宋体" w:cs="Times New Roman"/>
      <w:sz w:val="22"/>
      <w:szCs w:val="22"/>
      <w:lang w:val="ru-RU" w:eastAsia="en-US" w:bidi="ar-SA"/>
    </w:rPr>
  </w:style>
  <w:style w:type="paragraph" w:customStyle="1" w:styleId="89">
    <w:name w:val="首页页眉"/>
    <w:basedOn w:val="28"/>
    <w:autoRedefine/>
    <w:qFormat/>
    <w:uiPriority w:val="99"/>
    <w:pPr>
      <w:pBdr>
        <w:bottom w:val="none" w:color="auto" w:sz="0" w:space="0"/>
      </w:pBdr>
      <w:spacing w:line="240" w:lineRule="atLeast"/>
      <w:ind w:firstLine="420" w:firstLineChars="200"/>
    </w:pPr>
    <w:rPr>
      <w:kern w:val="0"/>
      <w:sz w:val="21"/>
      <w:szCs w:val="20"/>
      <w:lang w:eastAsia="zh-TW"/>
    </w:rPr>
  </w:style>
  <w:style w:type="paragraph" w:customStyle="1" w:styleId="9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91">
    <w:name w:val="jsc标题4"/>
    <w:basedOn w:val="5"/>
    <w:autoRedefine/>
    <w:qFormat/>
    <w:uiPriority w:val="99"/>
    <w:pPr>
      <w:spacing w:before="0" w:after="0" w:line="360" w:lineRule="auto"/>
      <w:jc w:val="left"/>
    </w:pPr>
    <w:rPr>
      <w:rFonts w:eastAsia="仿宋_GB2312" w:cs="Times New Roman"/>
      <w:sz w:val="24"/>
    </w:rPr>
  </w:style>
  <w:style w:type="paragraph" w:customStyle="1" w:styleId="92">
    <w:name w:val="浅色网格 - 强调文字颜色 31"/>
    <w:basedOn w:val="1"/>
    <w:autoRedefine/>
    <w:qFormat/>
    <w:uiPriority w:val="34"/>
    <w:pPr>
      <w:ind w:firstLine="420" w:firstLineChars="200"/>
    </w:pPr>
    <w:rPr>
      <w:rFonts w:ascii="Calibri" w:hAnsi="Calibri"/>
      <w:szCs w:val="22"/>
    </w:rPr>
  </w:style>
  <w:style w:type="paragraph" w:customStyle="1" w:styleId="93">
    <w:name w:val="列出段落1"/>
    <w:basedOn w:val="1"/>
    <w:autoRedefine/>
    <w:qFormat/>
    <w:uiPriority w:val="34"/>
    <w:pPr>
      <w:ind w:firstLine="420" w:firstLineChars="200"/>
    </w:pPr>
    <w:rPr>
      <w:rFonts w:ascii="Calibri" w:hAnsi="Calibri"/>
      <w:szCs w:val="22"/>
    </w:rPr>
  </w:style>
  <w:style w:type="paragraph" w:customStyle="1" w:styleId="94">
    <w:name w:val="font0"/>
    <w:basedOn w:val="1"/>
    <w:autoRedefine/>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95">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96">
    <w:name w:val="一级节标题"/>
    <w:next w:val="1"/>
    <w:autoRedefine/>
    <w:qFormat/>
    <w:uiPriority w:val="99"/>
    <w:pPr>
      <w:spacing w:before="360" w:after="360"/>
      <w:outlineLvl w:val="1"/>
    </w:pPr>
    <w:rPr>
      <w:rFonts w:ascii="Times New Roman" w:hAnsi="Times New Roman" w:eastAsia="黑体" w:cs="Times New Roman"/>
      <w:b/>
      <w:sz w:val="30"/>
      <w:lang w:val="en-US" w:eastAsia="zh-CN" w:bidi="ar-SA"/>
    </w:rPr>
  </w:style>
  <w:style w:type="paragraph" w:customStyle="1" w:styleId="97">
    <w:name w:val="jsc标题2"/>
    <w:basedOn w:val="3"/>
    <w:next w:val="1"/>
    <w:autoRedefine/>
    <w:qFormat/>
    <w:uiPriority w:val="99"/>
    <w:pPr>
      <w:ind w:left="1135"/>
      <w:jc w:val="left"/>
    </w:pPr>
    <w:rPr>
      <w:rFonts w:eastAsia="仿宋"/>
      <w:sz w:val="24"/>
      <w:lang w:val="en-US"/>
    </w:rPr>
  </w:style>
  <w:style w:type="paragraph" w:customStyle="1" w:styleId="98">
    <w:name w:val="Char Char Char Char2"/>
    <w:basedOn w:val="1"/>
    <w:autoRedefine/>
    <w:qFormat/>
    <w:uiPriority w:val="99"/>
    <w:pPr>
      <w:widowControl/>
      <w:spacing w:after="160" w:line="240" w:lineRule="exact"/>
      <w:jc w:val="left"/>
    </w:pPr>
    <w:rPr>
      <w:szCs w:val="20"/>
    </w:rPr>
  </w:style>
  <w:style w:type="paragraph" w:customStyle="1" w:styleId="99">
    <w:name w:val="表格文字"/>
    <w:basedOn w:val="1"/>
    <w:autoRedefine/>
    <w:qFormat/>
    <w:uiPriority w:val="99"/>
    <w:pPr>
      <w:adjustRightInd w:val="0"/>
      <w:spacing w:line="420" w:lineRule="atLeast"/>
      <w:jc w:val="left"/>
    </w:pPr>
    <w:rPr>
      <w:kern w:val="0"/>
      <w:szCs w:val="20"/>
    </w:rPr>
  </w:style>
  <w:style w:type="paragraph" w:customStyle="1" w:styleId="100">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
    <w:name w:val="大标题"/>
    <w:next w:val="1"/>
    <w:autoRedefine/>
    <w:qFormat/>
    <w:uiPriority w:val="99"/>
    <w:pPr>
      <w:keepNext/>
      <w:pageBreakBefore/>
      <w:tabs>
        <w:tab w:val="left" w:pos="426"/>
      </w:tabs>
      <w:adjustRightInd w:val="0"/>
      <w:snapToGrid w:val="0"/>
      <w:spacing w:before="360" w:after="360"/>
      <w:ind w:left="425" w:right="279" w:rightChars="133" w:hanging="425"/>
      <w:jc w:val="both"/>
      <w:outlineLvl w:val="0"/>
    </w:pPr>
    <w:rPr>
      <w:rFonts w:ascii="Times New Roman" w:hAnsi="Times New Roman" w:eastAsia="宋体" w:cs="Times New Roman"/>
      <w:b/>
      <w:sz w:val="36"/>
      <w:lang w:val="en-US" w:eastAsia="zh-CN" w:bidi="ar-SA"/>
    </w:rPr>
  </w:style>
  <w:style w:type="paragraph" w:customStyle="1" w:styleId="102">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03">
    <w:name w:val="xl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4">
    <w:name w:val="juzhong"/>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05">
    <w:name w:val="Char1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106">
    <w:name w:val="样式 标题 2 + 宋体 五号 左 段前: 18 磅 段后: 18 磅 行距: 单倍行距"/>
    <w:basedOn w:val="4"/>
    <w:autoRedefine/>
    <w:qFormat/>
    <w:uiPriority w:val="99"/>
    <w:pPr>
      <w:spacing w:before="360" w:after="360" w:line="240" w:lineRule="auto"/>
      <w:jc w:val="left"/>
    </w:pPr>
    <w:rPr>
      <w:rFonts w:ascii="宋体" w:hAnsi="宋体" w:cs="宋体"/>
      <w:sz w:val="21"/>
      <w:szCs w:val="20"/>
    </w:rPr>
  </w:style>
  <w:style w:type="paragraph" w:customStyle="1" w:styleId="107">
    <w:name w:val="xl6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4"/>
    </w:rPr>
  </w:style>
  <w:style w:type="paragraph" w:customStyle="1" w:styleId="108">
    <w:name w:val="金安桥正文"/>
    <w:basedOn w:val="19"/>
    <w:autoRedefine/>
    <w:qFormat/>
    <w:uiPriority w:val="99"/>
    <w:pPr>
      <w:adjustRightInd w:val="0"/>
      <w:spacing w:line="300" w:lineRule="auto"/>
      <w:ind w:firstLine="200"/>
      <w:jc w:val="left"/>
    </w:pPr>
    <w:rPr>
      <w:bCs w:val="0"/>
      <w:kern w:val="0"/>
      <w:sz w:val="24"/>
      <w:szCs w:val="20"/>
    </w:rPr>
  </w:style>
  <w:style w:type="paragraph" w:customStyle="1" w:styleId="10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110">
    <w:name w:val="MM Topic 3"/>
    <w:basedOn w:val="4"/>
    <w:autoRedefine/>
    <w:qFormat/>
    <w:uiPriority w:val="99"/>
    <w:pPr>
      <w:tabs>
        <w:tab w:val="left" w:pos="1260"/>
      </w:tabs>
      <w:ind w:left="1260" w:hanging="420"/>
    </w:pPr>
    <w:rPr>
      <w:rFonts w:ascii="Calibri" w:hAnsi="Calibri"/>
    </w:rPr>
  </w:style>
  <w:style w:type="paragraph" w:customStyle="1" w:styleId="111">
    <w:name w:val="font1"/>
    <w:basedOn w:val="1"/>
    <w:autoRedefine/>
    <w:qFormat/>
    <w:uiPriority w:val="99"/>
    <w:pPr>
      <w:widowControl/>
      <w:spacing w:before="100" w:beforeAutospacing="1" w:after="100" w:afterAutospacing="1"/>
      <w:jc w:val="left"/>
    </w:pPr>
    <w:rPr>
      <w:rFonts w:ascii="宋体" w:hAnsi="宋体" w:cs="宋体"/>
      <w:color w:val="000000"/>
      <w:kern w:val="0"/>
      <w:sz w:val="22"/>
      <w:szCs w:val="22"/>
    </w:rPr>
  </w:style>
  <w:style w:type="character" w:customStyle="1" w:styleId="112">
    <w:name w:val="正文无缩进 Char"/>
    <w:link w:val="113"/>
    <w:autoRedefine/>
    <w:qFormat/>
    <w:locked/>
    <w:uiPriority w:val="0"/>
    <w:rPr>
      <w:kern w:val="2"/>
      <w:sz w:val="24"/>
      <w:szCs w:val="22"/>
    </w:rPr>
  </w:style>
  <w:style w:type="paragraph" w:customStyle="1" w:styleId="113">
    <w:name w:val="正文无缩进"/>
    <w:basedOn w:val="1"/>
    <w:link w:val="112"/>
    <w:autoRedefine/>
    <w:qFormat/>
    <w:uiPriority w:val="0"/>
    <w:pPr>
      <w:spacing w:line="312" w:lineRule="auto"/>
      <w:jc w:val="left"/>
    </w:pPr>
    <w:rPr>
      <w:sz w:val="24"/>
      <w:szCs w:val="22"/>
    </w:rPr>
  </w:style>
  <w:style w:type="paragraph" w:customStyle="1" w:styleId="114">
    <w:name w:val="p17"/>
    <w:basedOn w:val="1"/>
    <w:autoRedefine/>
    <w:qFormat/>
    <w:uiPriority w:val="99"/>
    <w:pPr>
      <w:widowControl/>
    </w:pPr>
    <w:rPr>
      <w:kern w:val="0"/>
      <w:szCs w:val="21"/>
    </w:rPr>
  </w:style>
  <w:style w:type="paragraph" w:customStyle="1" w:styleId="115">
    <w:name w:val="List Paragraph1"/>
    <w:basedOn w:val="1"/>
    <w:autoRedefine/>
    <w:qFormat/>
    <w:uiPriority w:val="99"/>
    <w:pPr>
      <w:ind w:firstLine="420" w:firstLineChars="200"/>
    </w:pPr>
    <w:rPr>
      <w:rFonts w:eastAsia="仿宋_GB2312"/>
      <w:sz w:val="32"/>
    </w:rPr>
  </w:style>
  <w:style w:type="paragraph" w:customStyle="1" w:styleId="116">
    <w:name w:val="列表段落1"/>
    <w:basedOn w:val="1"/>
    <w:autoRedefine/>
    <w:qFormat/>
    <w:uiPriority w:val="99"/>
    <w:pPr>
      <w:ind w:firstLine="420" w:firstLineChars="200"/>
    </w:pPr>
    <w:rPr>
      <w:rFonts w:ascii="Calibri" w:hAnsi="Calibri"/>
      <w:szCs w:val="22"/>
    </w:rPr>
  </w:style>
  <w:style w:type="paragraph" w:customStyle="1" w:styleId="117">
    <w:name w:val="1 Char Char Char Char"/>
    <w:basedOn w:val="1"/>
    <w:autoRedefine/>
    <w:qFormat/>
    <w:uiPriority w:val="99"/>
    <w:rPr>
      <w:rFonts w:ascii="Tahoma" w:hAnsi="Tahoma"/>
      <w:sz w:val="24"/>
      <w:szCs w:val="20"/>
    </w:rPr>
  </w:style>
  <w:style w:type="paragraph" w:customStyle="1" w:styleId="118">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b/>
      <w:bCs/>
      <w:kern w:val="0"/>
      <w:sz w:val="24"/>
    </w:rPr>
  </w:style>
  <w:style w:type="paragraph" w:customStyle="1" w:styleId="119">
    <w:name w:val="样式 正文文字缩进 + 宋体 居中 行距: 固定值 24 磅"/>
    <w:basedOn w:val="1"/>
    <w:autoRedefine/>
    <w:qFormat/>
    <w:uiPriority w:val="99"/>
    <w:pPr>
      <w:ind w:left="80" w:leftChars="38"/>
    </w:pPr>
    <w:rPr>
      <w:rFonts w:ascii="宋体" w:hAnsi="宋体" w:cs="宋体"/>
      <w:szCs w:val="20"/>
    </w:rPr>
  </w:style>
  <w:style w:type="paragraph" w:customStyle="1" w:styleId="120">
    <w:name w:val="表正文"/>
    <w:basedOn w:val="1"/>
    <w:next w:val="12"/>
    <w:autoRedefine/>
    <w:qFormat/>
    <w:uiPriority w:val="99"/>
    <w:pPr>
      <w:spacing w:line="360" w:lineRule="auto"/>
      <w:ind w:firstLine="420" w:firstLineChars="200"/>
    </w:pPr>
  </w:style>
  <w:style w:type="paragraph" w:customStyle="1" w:styleId="121">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样式 标题 2 + Times New Roman 四号 非加粗 段前: 5 磅 段后: 0 磅 行距: 固定值 20..."/>
    <w:basedOn w:val="3"/>
    <w:autoRedefine/>
    <w:qFormat/>
    <w:uiPriority w:val="99"/>
    <w:pPr>
      <w:autoSpaceDE/>
      <w:autoSpaceDN/>
      <w:adjustRightInd/>
      <w:spacing w:before="0" w:beforeLines="50" w:afterLines="50" w:line="360" w:lineRule="auto"/>
      <w:jc w:val="both"/>
    </w:pPr>
    <w:rPr>
      <w:rFonts w:ascii="宋体" w:hAnsi="Times New Roman" w:cs="宋体"/>
      <w:b w:val="0"/>
      <w:kern w:val="2"/>
      <w:sz w:val="28"/>
      <w:lang w:val="en-US"/>
    </w:rPr>
  </w:style>
  <w:style w:type="paragraph" w:customStyle="1" w:styleId="123">
    <w:name w:val="样式1"/>
    <w:basedOn w:val="29"/>
    <w:autoRedefine/>
    <w:qFormat/>
    <w:uiPriority w:val="99"/>
    <w:pPr>
      <w:tabs>
        <w:tab w:val="left" w:pos="840"/>
        <w:tab w:val="left" w:pos="1680"/>
        <w:tab w:val="right" w:leader="dot" w:pos="8302"/>
      </w:tabs>
      <w:adjustRightInd w:val="0"/>
      <w:snapToGrid w:val="0"/>
      <w:spacing w:beforeLines="50"/>
      <w:ind w:left="210" w:leftChars="100" w:right="210" w:rightChars="100" w:firstLine="200"/>
      <w:jc w:val="left"/>
    </w:pPr>
    <w:rPr>
      <w:rFonts w:cs="Arial"/>
      <w:bCs/>
      <w:caps/>
      <w:sz w:val="24"/>
    </w:rPr>
  </w:style>
  <w:style w:type="paragraph" w:customStyle="1" w:styleId="124">
    <w:name w:val="三级节标题"/>
    <w:next w:val="1"/>
    <w:autoRedefine/>
    <w:qFormat/>
    <w:uiPriority w:val="99"/>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125">
    <w:name w:val="IBM 正文"/>
    <w:basedOn w:val="1"/>
    <w:autoRedefine/>
    <w:qFormat/>
    <w:uiPriority w:val="99"/>
    <w:pPr>
      <w:spacing w:line="360" w:lineRule="exact"/>
    </w:pPr>
    <w:rPr>
      <w:sz w:val="24"/>
      <w:szCs w:val="20"/>
    </w:rPr>
  </w:style>
  <w:style w:type="paragraph" w:customStyle="1" w:styleId="126">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
    <w:name w:val="正文文字缩进 3"/>
    <w:basedOn w:val="1"/>
    <w:autoRedefine/>
    <w:qFormat/>
    <w:uiPriority w:val="99"/>
    <w:pPr>
      <w:widowControl/>
      <w:spacing w:before="119" w:line="272" w:lineRule="atLeast"/>
      <w:ind w:left="719" w:firstLine="481"/>
      <w:jc w:val="left"/>
    </w:pPr>
    <w:rPr>
      <w:rFonts w:ascii="宋体"/>
      <w:color w:val="000000"/>
      <w:kern w:val="0"/>
      <w:sz w:val="24"/>
      <w:szCs w:val="20"/>
      <w:u w:color="000000"/>
    </w:rPr>
  </w:style>
  <w:style w:type="paragraph" w:customStyle="1" w:styleId="128">
    <w:name w:val="无间隔1"/>
    <w:autoRedefine/>
    <w:qFormat/>
    <w:uiPriority w:val="1"/>
    <w:rPr>
      <w:rFonts w:ascii="Times New Roman" w:hAnsi="Times New Roman" w:eastAsia="宋体" w:cs="Times New Roman"/>
      <w:sz w:val="22"/>
      <w:lang w:val="en-US" w:eastAsia="zh-CN" w:bidi="ar-SA"/>
    </w:rPr>
  </w:style>
  <w:style w:type="paragraph" w:customStyle="1" w:styleId="129">
    <w:name w:val="xl24"/>
    <w:basedOn w:val="1"/>
    <w:autoRedefine/>
    <w:qFormat/>
    <w:uiPriority w:val="99"/>
    <w:pPr>
      <w:widowControl/>
      <w:spacing w:before="100" w:after="100"/>
      <w:jc w:val="center"/>
    </w:pPr>
    <w:rPr>
      <w:rFonts w:ascii="宋体" w:hAnsi="宋体"/>
      <w:kern w:val="0"/>
      <w:sz w:val="24"/>
      <w:szCs w:val="20"/>
    </w:rPr>
  </w:style>
  <w:style w:type="paragraph" w:customStyle="1" w:styleId="130">
    <w:name w:val="6'"/>
    <w:basedOn w:val="1"/>
    <w:autoRedefine/>
    <w:qFormat/>
    <w:uiPriority w:val="99"/>
    <w:pPr>
      <w:autoSpaceDE w:val="0"/>
      <w:autoSpaceDN w:val="0"/>
      <w:adjustRightInd w:val="0"/>
      <w:snapToGrid w:val="0"/>
      <w:spacing w:line="320" w:lineRule="exact"/>
      <w:jc w:val="center"/>
    </w:pPr>
    <w:rPr>
      <w:spacing w:val="20"/>
      <w:kern w:val="28"/>
      <w:szCs w:val="20"/>
    </w:rPr>
  </w:style>
  <w:style w:type="paragraph" w:customStyle="1" w:styleId="131">
    <w:name w:val="Style Style Heading 2L2h2H2Heading 2 HiddenHeading 2 CCBSPA Major S..."/>
    <w:basedOn w:val="1"/>
    <w:autoRedefine/>
    <w:qFormat/>
    <w:uiPriority w:val="99"/>
    <w:pPr>
      <w:keepNext/>
      <w:keepLines/>
      <w:spacing w:beforeLines="50" w:line="360" w:lineRule="auto"/>
      <w:outlineLvl w:val="1"/>
    </w:pPr>
    <w:rPr>
      <w:rFonts w:eastAsia="黑体" w:cs="宋体"/>
      <w:b/>
      <w:bCs/>
      <w:sz w:val="32"/>
      <w:szCs w:val="20"/>
    </w:rPr>
  </w:style>
  <w:style w:type="paragraph" w:customStyle="1" w:styleId="132">
    <w:name w:val="xl6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33">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4">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5">
    <w:name w:val="参考文献"/>
    <w:next w:val="1"/>
    <w:autoRedefine/>
    <w:qFormat/>
    <w:uiPriority w:val="99"/>
    <w:pPr>
      <w:spacing w:line="400" w:lineRule="exact"/>
    </w:pPr>
    <w:rPr>
      <w:rFonts w:ascii="Times New Roman" w:hAnsi="Times New Roman" w:eastAsia="宋体" w:cs="Times New Roman"/>
      <w:sz w:val="21"/>
      <w:lang w:val="en-US" w:eastAsia="zh-CN" w:bidi="ar-SA"/>
    </w:rPr>
  </w:style>
  <w:style w:type="paragraph" w:customStyle="1" w:styleId="136">
    <w:name w:val="Char11"/>
    <w:basedOn w:val="1"/>
    <w:autoRedefine/>
    <w:qFormat/>
    <w:uiPriority w:val="99"/>
    <w:rPr>
      <w:rFonts w:ascii="Tahoma" w:hAnsi="Tahoma"/>
      <w:sz w:val="24"/>
      <w:szCs w:val="20"/>
    </w:rPr>
  </w:style>
  <w:style w:type="paragraph" w:customStyle="1" w:styleId="137">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3"/>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1"/>
    <w:basedOn w:val="1"/>
    <w:autoRedefine/>
    <w:qFormat/>
    <w:uiPriority w:val="99"/>
  </w:style>
  <w:style w:type="character" w:customStyle="1" w:styleId="141">
    <w:name w:val="正文 首行缩进:  2 字符 Char"/>
    <w:link w:val="142"/>
    <w:autoRedefine/>
    <w:qFormat/>
    <w:locked/>
    <w:uiPriority w:val="0"/>
    <w:rPr>
      <w:rFonts w:ascii="宋体" w:hAnsi="宋体" w:cs="宋体"/>
      <w:kern w:val="2"/>
      <w:sz w:val="24"/>
    </w:rPr>
  </w:style>
  <w:style w:type="paragraph" w:customStyle="1" w:styleId="142">
    <w:name w:val="正文 首行缩进:  2 字符"/>
    <w:basedOn w:val="1"/>
    <w:link w:val="141"/>
    <w:autoRedefine/>
    <w:qFormat/>
    <w:uiPriority w:val="0"/>
    <w:pPr>
      <w:spacing w:line="360" w:lineRule="auto"/>
      <w:ind w:firstLine="480"/>
    </w:pPr>
    <w:rPr>
      <w:rFonts w:ascii="宋体" w:hAnsi="宋体" w:cs="宋体"/>
      <w:sz w:val="24"/>
      <w:szCs w:val="20"/>
    </w:rPr>
  </w:style>
  <w:style w:type="paragraph" w:customStyle="1" w:styleId="143">
    <w:name w:val="TOC 标题11"/>
    <w:basedOn w:val="2"/>
    <w:next w:val="1"/>
    <w:autoRedefine/>
    <w:qFormat/>
    <w:uiPriority w:val="99"/>
    <w:pPr>
      <w:widowControl/>
      <w:spacing w:before="480" w:line="276" w:lineRule="auto"/>
      <w:jc w:val="left"/>
      <w:outlineLvl w:val="9"/>
    </w:pPr>
    <w:rPr>
      <w:rFonts w:ascii="Cambria" w:hAnsi="Cambria"/>
      <w:color w:val="365F91"/>
      <w:kern w:val="0"/>
      <w:sz w:val="28"/>
      <w:szCs w:val="28"/>
    </w:rPr>
  </w:style>
  <w:style w:type="paragraph" w:customStyle="1" w:styleId="144">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b/>
      <w:bCs/>
      <w:kern w:val="0"/>
      <w:sz w:val="24"/>
    </w:rPr>
  </w:style>
  <w:style w:type="paragraph" w:customStyle="1" w:styleId="145">
    <w:name w:val="中文摘要正文"/>
    <w:next w:val="1"/>
    <w:autoRedefine/>
    <w:qFormat/>
    <w:uiPriority w:val="99"/>
    <w:pPr>
      <w:spacing w:line="400" w:lineRule="exact"/>
    </w:pPr>
    <w:rPr>
      <w:rFonts w:ascii="Times New Roman" w:hAnsi="Times New Roman" w:eastAsia="宋体" w:cs="Times New Roman"/>
      <w:sz w:val="24"/>
      <w:lang w:val="en-US" w:eastAsia="zh-CN" w:bidi="ar-SA"/>
    </w:rPr>
  </w:style>
  <w:style w:type="paragraph" w:customStyle="1" w:styleId="146">
    <w:name w:val="2"/>
    <w:basedOn w:val="1"/>
    <w:next w:val="23"/>
    <w:autoRedefine/>
    <w:qFormat/>
    <w:uiPriority w:val="99"/>
    <w:rPr>
      <w:rFonts w:ascii="宋体" w:hAnsi="Courier New" w:cs="Courier New"/>
      <w:szCs w:val="21"/>
    </w:rPr>
  </w:style>
  <w:style w:type="paragraph" w:customStyle="1" w:styleId="147">
    <w:name w:val="二级节标题"/>
    <w:next w:val="1"/>
    <w:autoRedefine/>
    <w:qFormat/>
    <w:uiPriority w:val="99"/>
    <w:pPr>
      <w:tabs>
        <w:tab w:val="left" w:pos="672"/>
        <w:tab w:val="left" w:pos="1080"/>
      </w:tabs>
      <w:spacing w:before="240" w:after="240" w:line="400" w:lineRule="exact"/>
      <w:ind w:left="709" w:hanging="709"/>
      <w:outlineLvl w:val="2"/>
    </w:pPr>
    <w:rPr>
      <w:rFonts w:ascii="Arial" w:hAnsi="Arial" w:eastAsia="宋体" w:cs="Times New Roman"/>
      <w:b/>
      <w:sz w:val="30"/>
      <w:szCs w:val="30"/>
      <w:lang w:val="en-US" w:eastAsia="zh-CN" w:bidi="ar-SA"/>
    </w:rPr>
  </w:style>
  <w:style w:type="paragraph" w:customStyle="1" w:styleId="148">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49">
    <w:name w:val="zw"/>
    <w:basedOn w:val="1"/>
    <w:autoRedefine/>
    <w:qFormat/>
    <w:uiPriority w:val="99"/>
    <w:pPr>
      <w:adjustRightInd w:val="0"/>
      <w:spacing w:line="360" w:lineRule="auto"/>
      <w:ind w:firstLine="482"/>
    </w:pPr>
    <w:rPr>
      <w:rFonts w:ascii="Arial Narrow" w:hAnsi="Arial Narrow" w:eastAsia="楷体_GB2312"/>
      <w:kern w:val="0"/>
      <w:sz w:val="24"/>
      <w:szCs w:val="20"/>
    </w:rPr>
  </w:style>
  <w:style w:type="paragraph" w:customStyle="1" w:styleId="150">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1">
    <w:name w:val="Char Char Char Char Char Char Char Char Char Char Char Char Char Char Char Char"/>
    <w:basedOn w:val="1"/>
    <w:autoRedefine/>
    <w:qFormat/>
    <w:uiPriority w:val="99"/>
    <w:pPr>
      <w:tabs>
        <w:tab w:val="left" w:pos="360"/>
      </w:tabs>
    </w:pPr>
    <w:rPr>
      <w:sz w:val="24"/>
    </w:rPr>
  </w:style>
  <w:style w:type="paragraph" w:customStyle="1" w:styleId="152">
    <w:name w:val="样式 标题 1 + 黑体 三号 非加粗 居中 段前: 6 磅 段后: 6 磅 行距: 固定值 20 磅"/>
    <w:basedOn w:val="2"/>
    <w:autoRedefine/>
    <w:qFormat/>
    <w:uiPriority w:val="99"/>
    <w:pPr>
      <w:spacing w:before="120" w:after="120" w:line="400" w:lineRule="exact"/>
    </w:pPr>
    <w:rPr>
      <w:rFonts w:ascii="黑体" w:hAnsi="黑体" w:eastAsia="黑体" w:cs="宋体"/>
      <w:b w:val="0"/>
      <w:bCs w:val="0"/>
      <w:sz w:val="32"/>
      <w:szCs w:val="20"/>
      <w:lang w:val="en-US"/>
    </w:rPr>
  </w:style>
  <w:style w:type="paragraph" w:customStyle="1" w:styleId="153">
    <w:name w:val="表格"/>
    <w:basedOn w:val="1"/>
    <w:autoRedefine/>
    <w:qFormat/>
    <w:uiPriority w:val="99"/>
    <w:pPr>
      <w:jc w:val="center"/>
    </w:pPr>
    <w:rPr>
      <w:rFonts w:ascii="华文细黑" w:hAnsi="华文细黑"/>
      <w:kern w:val="0"/>
      <w:szCs w:val="20"/>
    </w:rPr>
  </w:style>
  <w:style w:type="paragraph" w:customStyle="1" w:styleId="154">
    <w:name w:val="表题与图题"/>
    <w:next w:val="1"/>
    <w:autoRedefine/>
    <w:qFormat/>
    <w:uiPriority w:val="99"/>
    <w:pPr>
      <w:spacing w:line="400" w:lineRule="exact"/>
    </w:pPr>
    <w:rPr>
      <w:rFonts w:ascii="Times New Roman" w:hAnsi="Times New Roman" w:eastAsia="宋体" w:cs="Times New Roman"/>
      <w:sz w:val="22"/>
      <w:lang w:val="en-US" w:eastAsia="zh-CN" w:bidi="ar-SA"/>
    </w:rPr>
  </w:style>
  <w:style w:type="character" w:customStyle="1" w:styleId="155">
    <w:name w:val="中文 Char"/>
    <w:link w:val="156"/>
    <w:autoRedefine/>
    <w:qFormat/>
    <w:locked/>
    <w:uiPriority w:val="0"/>
    <w:rPr>
      <w:rFonts w:ascii="Calibri" w:hAnsi="Calibri"/>
      <w:sz w:val="24"/>
    </w:rPr>
  </w:style>
  <w:style w:type="paragraph" w:customStyle="1" w:styleId="156">
    <w:name w:val="中文"/>
    <w:basedOn w:val="1"/>
    <w:link w:val="155"/>
    <w:autoRedefine/>
    <w:qFormat/>
    <w:uiPriority w:val="0"/>
    <w:pPr>
      <w:spacing w:line="360" w:lineRule="auto"/>
      <w:ind w:firstLine="480" w:firstLineChars="200"/>
    </w:pPr>
    <w:rPr>
      <w:rFonts w:ascii="Calibri" w:hAnsi="Calibri"/>
      <w:kern w:val="0"/>
      <w:sz w:val="24"/>
      <w:szCs w:val="20"/>
    </w:rPr>
  </w:style>
  <w:style w:type="paragraph" w:customStyle="1" w:styleId="157">
    <w:name w:val="a"/>
    <w:basedOn w:val="1"/>
    <w:autoRedefine/>
    <w:qFormat/>
    <w:uiPriority w:val="99"/>
    <w:pPr>
      <w:widowControl/>
      <w:jc w:val="left"/>
    </w:pPr>
    <w:rPr>
      <w:rFonts w:ascii="宋体" w:hAnsi="宋体" w:cs="宋体"/>
      <w:kern w:val="0"/>
      <w:sz w:val="24"/>
    </w:rPr>
  </w:style>
  <w:style w:type="paragraph" w:customStyle="1" w:styleId="158">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0">
    <w:name w:val="Char12"/>
    <w:basedOn w:val="1"/>
    <w:autoRedefine/>
    <w:qFormat/>
    <w:uiPriority w:val="99"/>
    <w:rPr>
      <w:rFonts w:ascii="Tahoma" w:hAnsi="Tahoma"/>
      <w:sz w:val="24"/>
      <w:szCs w:val="20"/>
    </w:rPr>
  </w:style>
  <w:style w:type="paragraph" w:customStyle="1" w:styleId="161">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2">
    <w:name w:val="pit正文"/>
    <w:basedOn w:val="1"/>
    <w:autoRedefine/>
    <w:qFormat/>
    <w:uiPriority w:val="99"/>
    <w:pPr>
      <w:spacing w:line="400" w:lineRule="exact"/>
    </w:pPr>
    <w:rPr>
      <w:spacing w:val="20"/>
      <w:sz w:val="24"/>
      <w:szCs w:val="20"/>
    </w:rPr>
  </w:style>
  <w:style w:type="paragraph" w:customStyle="1" w:styleId="163">
    <w:name w:val="Char Char Char Char"/>
    <w:basedOn w:val="1"/>
    <w:autoRedefine/>
    <w:qFormat/>
    <w:uiPriority w:val="99"/>
    <w:pPr>
      <w:widowControl/>
      <w:spacing w:after="160" w:line="240" w:lineRule="exact"/>
      <w:jc w:val="left"/>
    </w:pPr>
    <w:rPr>
      <w:szCs w:val="20"/>
    </w:rPr>
  </w:style>
  <w:style w:type="paragraph" w:customStyle="1" w:styleId="164">
    <w:name w:val="中文摘要标题"/>
    <w:next w:val="1"/>
    <w:autoRedefine/>
    <w:qFormat/>
    <w:uiPriority w:val="99"/>
    <w:pPr>
      <w:spacing w:beforeLines="100" w:line="400" w:lineRule="exact"/>
      <w:jc w:val="center"/>
    </w:pPr>
    <w:rPr>
      <w:rFonts w:ascii="Times New Roman" w:hAnsi="Times New Roman" w:eastAsia="黑体" w:cs="Times New Roman"/>
      <w:sz w:val="30"/>
      <w:lang w:val="en-US" w:eastAsia="zh-CN" w:bidi="ar-SA"/>
    </w:rPr>
  </w:style>
  <w:style w:type="paragraph" w:customStyle="1" w:styleId="165">
    <w:name w:val="Char Char Char Char Char Char Char Char Char Char Char Char1 Char"/>
    <w:basedOn w:val="1"/>
    <w:autoRedefine/>
    <w:qFormat/>
    <w:uiPriority w:val="99"/>
    <w:pPr>
      <w:snapToGrid w:val="0"/>
      <w:spacing w:line="360" w:lineRule="auto"/>
      <w:ind w:firstLine="200" w:firstLineChars="200"/>
    </w:pPr>
    <w:rPr>
      <w:rFonts w:eastAsia="仿宋_GB2312"/>
      <w:sz w:val="24"/>
    </w:rPr>
  </w:style>
  <w:style w:type="paragraph" w:customStyle="1" w:styleId="166">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7">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Char Char Char Char1"/>
    <w:basedOn w:val="1"/>
    <w:autoRedefine/>
    <w:qFormat/>
    <w:uiPriority w:val="99"/>
    <w:pPr>
      <w:widowControl/>
      <w:spacing w:after="160" w:line="240" w:lineRule="exact"/>
      <w:jc w:val="left"/>
    </w:pPr>
    <w:rPr>
      <w:szCs w:val="20"/>
    </w:rPr>
  </w:style>
  <w:style w:type="paragraph" w:customStyle="1" w:styleId="169">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0">
    <w:name w:val="jsc标题3"/>
    <w:basedOn w:val="4"/>
    <w:next w:val="1"/>
    <w:autoRedefine/>
    <w:qFormat/>
    <w:uiPriority w:val="99"/>
    <w:pPr>
      <w:spacing w:line="412" w:lineRule="auto"/>
      <w:jc w:val="left"/>
    </w:pPr>
    <w:rPr>
      <w:rFonts w:ascii="Calibri" w:hAnsi="Calibri" w:eastAsia="仿宋_GB2312"/>
      <w:kern w:val="0"/>
      <w:sz w:val="24"/>
    </w:rPr>
  </w:style>
  <w:style w:type="paragraph" w:customStyle="1" w:styleId="171">
    <w:name w:val="font6"/>
    <w:basedOn w:val="1"/>
    <w:autoRedefine/>
    <w:qFormat/>
    <w:uiPriority w:val="99"/>
    <w:pPr>
      <w:widowControl/>
      <w:spacing w:before="100" w:beforeAutospacing="1" w:after="100" w:afterAutospacing="1"/>
      <w:jc w:val="left"/>
    </w:pPr>
    <w:rPr>
      <w:rFonts w:ascii="MingLiU" w:hAnsi="MingLiU" w:eastAsia="MingLiU" w:cs="宋体"/>
      <w:color w:val="000000"/>
      <w:kern w:val="0"/>
      <w:sz w:val="22"/>
      <w:szCs w:val="22"/>
    </w:rPr>
  </w:style>
  <w:style w:type="paragraph" w:customStyle="1" w:styleId="172">
    <w:name w:val="样式 标题 3 + (中文) 黑体 小四 非加粗 段前: 7.8 磅 段后: 0 磅 行距: 固定值 20 磅"/>
    <w:basedOn w:val="4"/>
    <w:autoRedefine/>
    <w:qFormat/>
    <w:uiPriority w:val="99"/>
    <w:pPr>
      <w:spacing w:before="0" w:beforeLines="50" w:after="0" w:afterLines="50" w:line="360" w:lineRule="auto"/>
    </w:pPr>
    <w:rPr>
      <w:rFonts w:ascii="宋体"/>
      <w:b w:val="0"/>
      <w:bCs w:val="0"/>
      <w:kern w:val="0"/>
      <w:sz w:val="24"/>
      <w:szCs w:val="20"/>
      <w:lang w:val="en-US"/>
    </w:rPr>
  </w:style>
  <w:style w:type="paragraph" w:customStyle="1" w:styleId="173">
    <w:name w:val="图五"/>
    <w:basedOn w:val="1"/>
    <w:autoRedefine/>
    <w:qFormat/>
    <w:uiPriority w:val="99"/>
    <w:pPr>
      <w:spacing w:line="240" w:lineRule="exact"/>
      <w:jc w:val="center"/>
    </w:pPr>
  </w:style>
  <w:style w:type="paragraph" w:customStyle="1" w:styleId="174">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5">
    <w:name w:val="XW正文"/>
    <w:basedOn w:val="19"/>
    <w:autoRedefine/>
    <w:qFormat/>
    <w:uiPriority w:val="99"/>
    <w:pPr>
      <w:adjustRightInd w:val="0"/>
      <w:snapToGrid w:val="0"/>
      <w:spacing w:line="300" w:lineRule="auto"/>
      <w:ind w:firstLine="520"/>
      <w:jc w:val="left"/>
    </w:pPr>
    <w:rPr>
      <w:bCs w:val="0"/>
      <w:kern w:val="0"/>
      <w:sz w:val="20"/>
      <w:szCs w:val="24"/>
    </w:rPr>
  </w:style>
  <w:style w:type="paragraph" w:customStyle="1" w:styleId="176">
    <w:name w:val="正文缩进2"/>
    <w:basedOn w:val="1"/>
    <w:autoRedefine/>
    <w:qFormat/>
    <w:uiPriority w:val="99"/>
    <w:pPr>
      <w:adjustRightInd w:val="0"/>
      <w:spacing w:line="360" w:lineRule="atLeast"/>
      <w:ind w:firstLine="420" w:firstLineChars="200"/>
      <w:jc w:val="left"/>
    </w:pPr>
    <w:rPr>
      <w:kern w:val="0"/>
      <w:sz w:val="24"/>
      <w:szCs w:val="20"/>
    </w:rPr>
  </w:style>
  <w:style w:type="character" w:customStyle="1" w:styleId="177">
    <w:name w:val="正文文本首行缩进 2 字符1"/>
    <w:link w:val="40"/>
    <w:autoRedefine/>
    <w:qFormat/>
    <w:locked/>
    <w:uiPriority w:val="99"/>
    <w:rPr>
      <w:rFonts w:ascii="Calibri" w:hAnsi="Calibri"/>
      <w:bCs/>
      <w:kern w:val="2"/>
      <w:sz w:val="21"/>
      <w:szCs w:val="24"/>
    </w:rPr>
  </w:style>
  <w:style w:type="character" w:customStyle="1" w:styleId="178">
    <w:name w:val="正文文本 Char1"/>
    <w:autoRedefine/>
    <w:qFormat/>
    <w:uiPriority w:val="0"/>
    <w:rPr>
      <w:kern w:val="2"/>
      <w:sz w:val="21"/>
      <w:szCs w:val="24"/>
    </w:rPr>
  </w:style>
  <w:style w:type="character" w:customStyle="1" w:styleId="179">
    <w:name w:val="font-bold1"/>
    <w:autoRedefine/>
    <w:qFormat/>
    <w:uiPriority w:val="0"/>
    <w:rPr>
      <w:b/>
      <w:bCs/>
    </w:rPr>
  </w:style>
  <w:style w:type="character" w:customStyle="1" w:styleId="180">
    <w:name w:val="批注文字 Char1"/>
    <w:autoRedefine/>
    <w:semiHidden/>
    <w:qFormat/>
    <w:locked/>
    <w:uiPriority w:val="99"/>
    <w:rPr>
      <w:rFonts w:hint="default" w:ascii="Times New Roman" w:hAnsi="Times New Roman" w:eastAsia="宋体" w:cs="Times New Roman"/>
      <w:kern w:val="0"/>
      <w:sz w:val="24"/>
      <w:szCs w:val="24"/>
    </w:rPr>
  </w:style>
  <w:style w:type="character" w:customStyle="1" w:styleId="181">
    <w:name w:val="HTML 预设格式 Char1"/>
    <w:autoRedefine/>
    <w:qFormat/>
    <w:uiPriority w:val="0"/>
    <w:rPr>
      <w:rFonts w:hint="default" w:ascii="Courier New" w:hAnsi="Courier New" w:cs="Courier New"/>
      <w:kern w:val="2"/>
    </w:rPr>
  </w:style>
  <w:style w:type="character" w:customStyle="1" w:styleId="182">
    <w:name w:val="未处理的提及1"/>
    <w:autoRedefine/>
    <w:qFormat/>
    <w:uiPriority w:val="99"/>
    <w:rPr>
      <w:color w:val="605E5C"/>
      <w:shd w:val="clear" w:color="auto" w:fill="E1DFDD"/>
    </w:rPr>
  </w:style>
  <w:style w:type="character" w:customStyle="1" w:styleId="183">
    <w:name w:val="无间隔 字符"/>
    <w:autoRedefine/>
    <w:qFormat/>
    <w:uiPriority w:val="1"/>
    <w:rPr>
      <w:rFonts w:hint="default" w:ascii="Calibri" w:hAnsi="Calibri"/>
      <w:sz w:val="22"/>
      <w:szCs w:val="22"/>
      <w:lang w:val="en-US" w:eastAsia="zh-CN" w:bidi="ar-SA"/>
    </w:rPr>
  </w:style>
  <w:style w:type="character" w:customStyle="1" w:styleId="184">
    <w:name w:val="纯文本 Char1"/>
    <w:autoRedefine/>
    <w:qFormat/>
    <w:uiPriority w:val="0"/>
    <w:rPr>
      <w:rFonts w:hint="eastAsia" w:ascii="宋体" w:hAnsi="Courier New" w:eastAsia="宋体"/>
      <w:kern w:val="2"/>
      <w:sz w:val="21"/>
      <w:lang w:val="en-US" w:eastAsia="zh-CN" w:bidi="ar-SA"/>
    </w:rPr>
  </w:style>
  <w:style w:type="character" w:customStyle="1" w:styleId="185">
    <w:name w:val="正文文本 3 Char"/>
    <w:autoRedefine/>
    <w:qFormat/>
    <w:locked/>
    <w:uiPriority w:val="99"/>
    <w:rPr>
      <w:sz w:val="16"/>
      <w:szCs w:val="16"/>
    </w:rPr>
  </w:style>
  <w:style w:type="character" w:customStyle="1" w:styleId="186">
    <w:name w:val="批注文字 Char"/>
    <w:autoRedefine/>
    <w:qFormat/>
    <w:locked/>
    <w:uiPriority w:val="99"/>
    <w:rPr>
      <w:kern w:val="2"/>
      <w:sz w:val="21"/>
      <w:szCs w:val="24"/>
    </w:rPr>
  </w:style>
  <w:style w:type="character" w:customStyle="1" w:styleId="187">
    <w:name w:val="批注框文本 Char"/>
    <w:autoRedefine/>
    <w:semiHidden/>
    <w:qFormat/>
    <w:locked/>
    <w:uiPriority w:val="0"/>
    <w:rPr>
      <w:kern w:val="2"/>
      <w:sz w:val="18"/>
      <w:szCs w:val="18"/>
    </w:rPr>
  </w:style>
  <w:style w:type="character" w:customStyle="1" w:styleId="188">
    <w:name w:val="标题 8 字符1"/>
    <w:link w:val="9"/>
    <w:autoRedefine/>
    <w:semiHidden/>
    <w:qFormat/>
    <w:locked/>
    <w:uiPriority w:val="99"/>
    <w:rPr>
      <w:rFonts w:ascii="Arial" w:hAnsi="Arial" w:eastAsia="黑体"/>
      <w:sz w:val="24"/>
      <w:lang w:val="zh-CN" w:eastAsia="zh-CN"/>
    </w:rPr>
  </w:style>
  <w:style w:type="character" w:customStyle="1" w:styleId="189">
    <w:name w:val="正文文本缩进 3 Char"/>
    <w:autoRedefine/>
    <w:qFormat/>
    <w:locked/>
    <w:uiPriority w:val="99"/>
    <w:rPr>
      <w:kern w:val="2"/>
      <w:sz w:val="16"/>
      <w:szCs w:val="16"/>
    </w:rPr>
  </w:style>
  <w:style w:type="character" w:customStyle="1" w:styleId="190">
    <w:name w:val="页眉 Char1"/>
    <w:autoRedefine/>
    <w:qFormat/>
    <w:uiPriority w:val="99"/>
    <w:rPr>
      <w:kern w:val="2"/>
      <w:sz w:val="18"/>
      <w:szCs w:val="18"/>
    </w:rPr>
  </w:style>
  <w:style w:type="character" w:customStyle="1" w:styleId="191">
    <w:name w:val="正文缩进 Char1"/>
    <w:autoRedefine/>
    <w:qFormat/>
    <w:uiPriority w:val="0"/>
    <w:rPr>
      <w:rFonts w:hint="eastAsia" w:ascii="宋体" w:hAnsi="宋体" w:eastAsia="宋体"/>
      <w:sz w:val="24"/>
    </w:rPr>
  </w:style>
  <w:style w:type="character" w:customStyle="1" w:styleId="192">
    <w:name w:val="标题 2 字符1"/>
    <w:autoRedefine/>
    <w:qFormat/>
    <w:uiPriority w:val="0"/>
    <w:rPr>
      <w:rFonts w:hint="default" w:ascii="Arial" w:hAnsi="Arial" w:eastAsia="黑体" w:cs="Arial"/>
      <w:b/>
      <w:sz w:val="30"/>
    </w:rPr>
  </w:style>
  <w:style w:type="character" w:customStyle="1" w:styleId="193">
    <w:name w:val="正文文本缩进 2 Char1"/>
    <w:autoRedefine/>
    <w:qFormat/>
    <w:locked/>
    <w:uiPriority w:val="99"/>
    <w:rPr>
      <w:rFonts w:hint="default" w:ascii="Times New Roman" w:hAnsi="Times New Roman" w:eastAsia="宋体" w:cs="Times New Roman"/>
      <w:kern w:val="0"/>
      <w:sz w:val="24"/>
      <w:szCs w:val="24"/>
    </w:rPr>
  </w:style>
  <w:style w:type="character" w:customStyle="1" w:styleId="194">
    <w:name w:val="样式 粉红"/>
    <w:autoRedefine/>
    <w:qFormat/>
    <w:uiPriority w:val="99"/>
    <w:rPr>
      <w:color w:val="auto"/>
      <w:u w:val="none"/>
    </w:rPr>
  </w:style>
  <w:style w:type="character" w:customStyle="1" w:styleId="195">
    <w:name w:val="正文文本 2 Char"/>
    <w:autoRedefine/>
    <w:qFormat/>
    <w:locked/>
    <w:uiPriority w:val="99"/>
    <w:rPr>
      <w:rFonts w:hint="eastAsia" w:ascii="黑体" w:hAnsi="黑体" w:eastAsia="黑体"/>
      <w:bCs/>
      <w:sz w:val="72"/>
      <w:szCs w:val="24"/>
    </w:rPr>
  </w:style>
  <w:style w:type="character" w:customStyle="1" w:styleId="196">
    <w:name w:val="页脚 Char1"/>
    <w:autoRedefine/>
    <w:qFormat/>
    <w:uiPriority w:val="99"/>
    <w:rPr>
      <w:kern w:val="2"/>
      <w:sz w:val="18"/>
      <w:szCs w:val="18"/>
    </w:rPr>
  </w:style>
  <w:style w:type="character" w:customStyle="1" w:styleId="197">
    <w:name w:val="font161"/>
    <w:autoRedefine/>
    <w:qFormat/>
    <w:uiPriority w:val="99"/>
    <w:rPr>
      <w:b/>
      <w:sz w:val="32"/>
    </w:rPr>
  </w:style>
  <w:style w:type="character" w:customStyle="1" w:styleId="198">
    <w:name w:val="批注主题 Char"/>
    <w:autoRedefine/>
    <w:qFormat/>
    <w:locked/>
    <w:uiPriority w:val="99"/>
    <w:rPr>
      <w:b/>
      <w:bCs/>
      <w:kern w:val="2"/>
      <w:sz w:val="21"/>
      <w:szCs w:val="24"/>
    </w:rPr>
  </w:style>
  <w:style w:type="character" w:customStyle="1" w:styleId="199">
    <w:name w:val="纯文本 Char2"/>
    <w:autoRedefine/>
    <w:qFormat/>
    <w:locked/>
    <w:uiPriority w:val="0"/>
    <w:rPr>
      <w:rFonts w:hint="eastAsia" w:ascii="宋体" w:hAnsi="Courier New" w:eastAsia="宋体"/>
      <w:kern w:val="2"/>
      <w:sz w:val="21"/>
    </w:rPr>
  </w:style>
  <w:style w:type="character" w:customStyle="1" w:styleId="200">
    <w:name w:val="标题 9 字符1"/>
    <w:link w:val="10"/>
    <w:autoRedefine/>
    <w:semiHidden/>
    <w:qFormat/>
    <w:locked/>
    <w:uiPriority w:val="99"/>
    <w:rPr>
      <w:rFonts w:ascii="Arial" w:hAnsi="Arial" w:eastAsia="黑体"/>
      <w:lang w:val="zh-CN" w:eastAsia="zh-CN"/>
    </w:rPr>
  </w:style>
  <w:style w:type="character" w:customStyle="1" w:styleId="201">
    <w:name w:val="标题 1 字符1"/>
    <w:link w:val="2"/>
    <w:autoRedefine/>
    <w:qFormat/>
    <w:locked/>
    <w:uiPriority w:val="99"/>
    <w:rPr>
      <w:b/>
      <w:bCs/>
      <w:kern w:val="44"/>
      <w:sz w:val="44"/>
      <w:szCs w:val="44"/>
      <w:lang w:val="zh-CN" w:eastAsia="zh-CN"/>
    </w:rPr>
  </w:style>
  <w:style w:type="character" w:customStyle="1" w:styleId="202">
    <w:name w:val="标题 2 字符2"/>
    <w:link w:val="3"/>
    <w:autoRedefine/>
    <w:semiHidden/>
    <w:qFormat/>
    <w:locked/>
    <w:uiPriority w:val="99"/>
    <w:rPr>
      <w:rFonts w:ascii="Arial" w:hAnsi="Arial"/>
      <w:b/>
      <w:sz w:val="30"/>
      <w:lang w:val="zh-CN" w:eastAsia="zh-CN"/>
    </w:rPr>
  </w:style>
  <w:style w:type="character" w:customStyle="1" w:styleId="203">
    <w:name w:val="apple-style-span"/>
    <w:basedOn w:val="43"/>
    <w:autoRedefine/>
    <w:qFormat/>
    <w:uiPriority w:val="0"/>
  </w:style>
  <w:style w:type="character" w:customStyle="1" w:styleId="204">
    <w:name w:val="标题 1 Char1"/>
    <w:autoRedefine/>
    <w:qFormat/>
    <w:uiPriority w:val="0"/>
    <w:rPr>
      <w:b/>
      <w:bCs/>
      <w:kern w:val="44"/>
      <w:sz w:val="44"/>
      <w:szCs w:val="44"/>
    </w:rPr>
  </w:style>
  <w:style w:type="character" w:customStyle="1" w:styleId="205">
    <w:name w:val="u_name2"/>
    <w:autoRedefine/>
    <w:qFormat/>
    <w:uiPriority w:val="0"/>
    <w:rPr>
      <w:color w:val="484848"/>
    </w:rPr>
  </w:style>
  <w:style w:type="character" w:customStyle="1" w:styleId="206">
    <w:name w:val="Char Char1"/>
    <w:autoRedefine/>
    <w:qFormat/>
    <w:uiPriority w:val="99"/>
    <w:rPr>
      <w:rFonts w:hint="eastAsia" w:ascii="宋体" w:hAnsi="宋体" w:eastAsia="宋体"/>
      <w:kern w:val="2"/>
      <w:sz w:val="24"/>
      <w:lang w:val="en-US" w:eastAsia="zh-CN"/>
    </w:rPr>
  </w:style>
  <w:style w:type="character" w:customStyle="1" w:styleId="207">
    <w:name w:val="批注文字 Char2"/>
    <w:autoRedefine/>
    <w:qFormat/>
    <w:uiPriority w:val="0"/>
    <w:rPr>
      <w:kern w:val="2"/>
      <w:sz w:val="21"/>
      <w:szCs w:val="24"/>
    </w:rPr>
  </w:style>
  <w:style w:type="character" w:customStyle="1" w:styleId="208">
    <w:name w:val="页眉 Char"/>
    <w:autoRedefine/>
    <w:qFormat/>
    <w:locked/>
    <w:uiPriority w:val="99"/>
    <w:rPr>
      <w:kern w:val="2"/>
      <w:sz w:val="18"/>
      <w:szCs w:val="18"/>
    </w:rPr>
  </w:style>
  <w:style w:type="character" w:customStyle="1" w:styleId="209">
    <w:name w:val="正文文本缩进 2 Char"/>
    <w:autoRedefine/>
    <w:qFormat/>
    <w:locked/>
    <w:uiPriority w:val="99"/>
    <w:rPr>
      <w:kern w:val="2"/>
      <w:sz w:val="21"/>
      <w:szCs w:val="24"/>
    </w:rPr>
  </w:style>
  <w:style w:type="character" w:customStyle="1" w:styleId="210">
    <w:name w:val="正文文本 Char"/>
    <w:autoRedefine/>
    <w:qFormat/>
    <w:locked/>
    <w:uiPriority w:val="99"/>
    <w:rPr>
      <w:kern w:val="2"/>
      <w:sz w:val="21"/>
      <w:szCs w:val="24"/>
    </w:rPr>
  </w:style>
  <w:style w:type="character" w:customStyle="1" w:styleId="211">
    <w:name w:val="页脚 Char"/>
    <w:autoRedefine/>
    <w:qFormat/>
    <w:locked/>
    <w:uiPriority w:val="99"/>
    <w:rPr>
      <w:kern w:val="2"/>
      <w:sz w:val="18"/>
      <w:szCs w:val="18"/>
    </w:rPr>
  </w:style>
  <w:style w:type="character" w:customStyle="1" w:styleId="212">
    <w:name w:val="文档结构图 Char"/>
    <w:autoRedefine/>
    <w:qFormat/>
    <w:locked/>
    <w:uiPriority w:val="99"/>
    <w:rPr>
      <w:rFonts w:hint="default" w:ascii="Calibri" w:hAnsi="Calibri"/>
      <w:shd w:val="clear" w:color="auto" w:fill="000080"/>
    </w:rPr>
  </w:style>
  <w:style w:type="character" w:customStyle="1" w:styleId="213">
    <w:name w:val="标题 7 字符1"/>
    <w:link w:val="8"/>
    <w:autoRedefine/>
    <w:semiHidden/>
    <w:qFormat/>
    <w:locked/>
    <w:uiPriority w:val="99"/>
    <w:rPr>
      <w:b/>
      <w:sz w:val="24"/>
      <w:lang w:val="zh-CN" w:eastAsia="zh-CN"/>
    </w:rPr>
  </w:style>
  <w:style w:type="character" w:customStyle="1" w:styleId="214">
    <w:name w:val="标题 2 Char1"/>
    <w:autoRedefine/>
    <w:qFormat/>
    <w:uiPriority w:val="0"/>
    <w:rPr>
      <w:rFonts w:hint="default" w:ascii="Arial" w:hAnsi="Arial" w:eastAsia="黑体" w:cs="Arial"/>
      <w:b/>
      <w:sz w:val="30"/>
    </w:rPr>
  </w:style>
  <w:style w:type="character" w:customStyle="1" w:styleId="215">
    <w:name w:val="标题 Char"/>
    <w:autoRedefine/>
    <w:qFormat/>
    <w:locked/>
    <w:uiPriority w:val="99"/>
    <w:rPr>
      <w:rFonts w:hint="eastAsia" w:ascii="黑体" w:hAnsi="黑体" w:eastAsia="黑体"/>
      <w:b/>
      <w:caps/>
      <w:spacing w:val="60"/>
      <w:kern w:val="20"/>
      <w:sz w:val="48"/>
    </w:rPr>
  </w:style>
  <w:style w:type="character" w:customStyle="1" w:styleId="216">
    <w:name w:val="正文文本首行缩进 字符1"/>
    <w:link w:val="39"/>
    <w:autoRedefine/>
    <w:qFormat/>
    <w:locked/>
    <w:uiPriority w:val="99"/>
    <w:rPr>
      <w:kern w:val="2"/>
      <w:sz w:val="21"/>
      <w:szCs w:val="24"/>
      <w:lang w:eastAsia="zh-TW"/>
    </w:rPr>
  </w:style>
  <w:style w:type="character" w:customStyle="1" w:styleId="217">
    <w:name w:val="clampword3"/>
    <w:basedOn w:val="43"/>
    <w:autoRedefine/>
    <w:qFormat/>
    <w:uiPriority w:val="0"/>
  </w:style>
  <w:style w:type="character" w:customStyle="1" w:styleId="218">
    <w:name w:val="标题 4 字符1"/>
    <w:link w:val="5"/>
    <w:autoRedefine/>
    <w:semiHidden/>
    <w:qFormat/>
    <w:locked/>
    <w:uiPriority w:val="99"/>
    <w:rPr>
      <w:rFonts w:ascii="Cambria" w:hAnsi="Cambria" w:cs="宋体"/>
      <w:b/>
      <w:bCs/>
      <w:kern w:val="2"/>
      <w:sz w:val="28"/>
      <w:szCs w:val="28"/>
      <w:lang w:val="zh-CN" w:eastAsia="zh-CN"/>
    </w:rPr>
  </w:style>
  <w:style w:type="character" w:customStyle="1" w:styleId="219">
    <w:name w:val="HTML 预设格式 Char"/>
    <w:autoRedefine/>
    <w:qFormat/>
    <w:locked/>
    <w:uiPriority w:val="0"/>
    <w:rPr>
      <w:rFonts w:hint="default" w:ascii="Arial" w:hAnsi="Arial" w:cs="Arial"/>
      <w:sz w:val="24"/>
      <w:szCs w:val="24"/>
    </w:rPr>
  </w:style>
  <w:style w:type="character" w:customStyle="1" w:styleId="220">
    <w:name w:val="标题 6 字符1"/>
    <w:link w:val="7"/>
    <w:autoRedefine/>
    <w:semiHidden/>
    <w:qFormat/>
    <w:locked/>
    <w:uiPriority w:val="99"/>
    <w:rPr>
      <w:rFonts w:ascii="Cambria" w:hAnsi="Cambria" w:cs="宋体"/>
      <w:b/>
      <w:bCs/>
      <w:kern w:val="2"/>
      <w:sz w:val="24"/>
      <w:szCs w:val="24"/>
      <w:lang w:val="zh-CN" w:eastAsia="zh-CN"/>
    </w:rPr>
  </w:style>
  <w:style w:type="character" w:customStyle="1" w:styleId="221">
    <w:name w:val="generalinfo-address-text2"/>
    <w:basedOn w:val="43"/>
    <w:autoRedefine/>
    <w:qFormat/>
    <w:uiPriority w:val="0"/>
  </w:style>
  <w:style w:type="character" w:customStyle="1" w:styleId="222">
    <w:name w:val="n-grey"/>
    <w:basedOn w:val="43"/>
    <w:autoRedefine/>
    <w:qFormat/>
    <w:uiPriority w:val="0"/>
  </w:style>
  <w:style w:type="character" w:customStyle="1" w:styleId="223">
    <w:name w:val="Char Char12"/>
    <w:autoRedefine/>
    <w:qFormat/>
    <w:uiPriority w:val="99"/>
    <w:rPr>
      <w:rFonts w:hint="eastAsia" w:ascii="宋体" w:hAnsi="宋体" w:eastAsia="宋体"/>
      <w:kern w:val="2"/>
      <w:sz w:val="24"/>
      <w:lang w:val="en-US" w:eastAsia="zh-CN"/>
    </w:rPr>
  </w:style>
  <w:style w:type="character" w:customStyle="1" w:styleId="224">
    <w:name w:val="副标题 Char"/>
    <w:autoRedefine/>
    <w:qFormat/>
    <w:locked/>
    <w:uiPriority w:val="0"/>
    <w:rPr>
      <w:rFonts w:hint="default" w:ascii="Arial" w:hAnsi="Arial" w:cs="Arial"/>
      <w:b/>
      <w:bCs/>
      <w:kern w:val="28"/>
      <w:sz w:val="32"/>
      <w:szCs w:val="32"/>
      <w:lang w:eastAsia="zh-TW"/>
    </w:rPr>
  </w:style>
  <w:style w:type="character" w:customStyle="1" w:styleId="225">
    <w:name w:val="Char Char11"/>
    <w:autoRedefine/>
    <w:qFormat/>
    <w:uiPriority w:val="99"/>
    <w:rPr>
      <w:rFonts w:hint="eastAsia" w:ascii="宋体" w:hAnsi="宋体" w:eastAsia="宋体"/>
      <w:kern w:val="2"/>
      <w:sz w:val="24"/>
      <w:lang w:val="en-US" w:eastAsia="zh-CN"/>
    </w:rPr>
  </w:style>
  <w:style w:type="character" w:customStyle="1" w:styleId="226">
    <w:name w:val="日期 Char"/>
    <w:autoRedefine/>
    <w:qFormat/>
    <w:locked/>
    <w:uiPriority w:val="99"/>
    <w:rPr>
      <w:kern w:val="2"/>
      <w:sz w:val="21"/>
      <w:szCs w:val="24"/>
    </w:rPr>
  </w:style>
  <w:style w:type="character" w:customStyle="1" w:styleId="227">
    <w:name w:val="正文文本缩进 Char"/>
    <w:autoRedefine/>
    <w:qFormat/>
    <w:locked/>
    <w:uiPriority w:val="99"/>
    <w:rPr>
      <w:bCs/>
      <w:kern w:val="2"/>
      <w:sz w:val="21"/>
      <w:szCs w:val="30"/>
    </w:rPr>
  </w:style>
  <w:style w:type="character" w:customStyle="1" w:styleId="228">
    <w:name w:val="纯文本 Char"/>
    <w:autoRedefine/>
    <w:qFormat/>
    <w:uiPriority w:val="0"/>
    <w:rPr>
      <w:rFonts w:hint="eastAsia" w:ascii="宋体" w:hAnsi="Courier New" w:eastAsia="宋体"/>
      <w:kern w:val="2"/>
      <w:sz w:val="21"/>
      <w:lang w:val="en-US" w:eastAsia="zh-CN" w:bidi="ar-SA"/>
    </w:rPr>
  </w:style>
  <w:style w:type="character" w:customStyle="1" w:styleId="229">
    <w:name w:val="date2"/>
    <w:basedOn w:val="43"/>
    <w:autoRedefine/>
    <w:qFormat/>
    <w:uiPriority w:val="0"/>
  </w:style>
  <w:style w:type="character" w:customStyle="1" w:styleId="230">
    <w:name w:val="标题 5 字符1"/>
    <w:link w:val="6"/>
    <w:autoRedefine/>
    <w:semiHidden/>
    <w:qFormat/>
    <w:locked/>
    <w:uiPriority w:val="99"/>
    <w:rPr>
      <w:b/>
      <w:bCs/>
      <w:kern w:val="2"/>
      <w:sz w:val="28"/>
      <w:szCs w:val="28"/>
      <w:lang w:val="zh-CN" w:eastAsia="zh-CN"/>
    </w:rPr>
  </w:style>
  <w:style w:type="character" w:customStyle="1" w:styleId="231">
    <w:name w:val="Char Char2"/>
    <w:autoRedefine/>
    <w:qFormat/>
    <w:uiPriority w:val="99"/>
    <w:rPr>
      <w:rFonts w:hint="default" w:ascii="Arial" w:hAnsi="Arial" w:eastAsia="黑体" w:cs="Arial"/>
      <w:b/>
      <w:kern w:val="2"/>
      <w:sz w:val="32"/>
      <w:lang w:val="en-US" w:eastAsia="zh-CN"/>
    </w:rPr>
  </w:style>
  <w:style w:type="character" w:customStyle="1" w:styleId="232">
    <w:name w:val="页脚 字符1"/>
    <w:basedOn w:val="43"/>
    <w:autoRedefine/>
    <w:semiHidden/>
    <w:qFormat/>
    <w:uiPriority w:val="99"/>
    <w:rPr>
      <w:kern w:val="2"/>
      <w:sz w:val="18"/>
      <w:szCs w:val="18"/>
    </w:rPr>
  </w:style>
  <w:style w:type="character" w:customStyle="1" w:styleId="233">
    <w:name w:val="页眉 字符1"/>
    <w:basedOn w:val="43"/>
    <w:autoRedefine/>
    <w:semiHidden/>
    <w:qFormat/>
    <w:uiPriority w:val="99"/>
    <w:rPr>
      <w:kern w:val="2"/>
      <w:sz w:val="18"/>
      <w:szCs w:val="18"/>
    </w:rPr>
  </w:style>
  <w:style w:type="paragraph" w:customStyle="1" w:styleId="234">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35">
    <w:name w:val="font11"/>
    <w:basedOn w:val="43"/>
    <w:autoRedefine/>
    <w:qFormat/>
    <w:uiPriority w:val="0"/>
    <w:rPr>
      <w:rFonts w:ascii="微软雅黑" w:hAnsi="微软雅黑" w:eastAsia="微软雅黑" w:cs="微软雅黑"/>
      <w:color w:val="000000"/>
      <w:sz w:val="22"/>
      <w:szCs w:val="22"/>
      <w:u w:val="none"/>
    </w:rPr>
  </w:style>
  <w:style w:type="character" w:customStyle="1" w:styleId="236">
    <w:name w:val="font01"/>
    <w:basedOn w:val="4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1F8B-3AF2-4791-A62B-7422EAC59B30}">
  <ds:schemaRefs/>
</ds:datastoreItem>
</file>

<file path=docProps/app.xml><?xml version="1.0" encoding="utf-8"?>
<Properties xmlns="http://schemas.openxmlformats.org/officeDocument/2006/extended-properties" xmlns:vt="http://schemas.openxmlformats.org/officeDocument/2006/docPropsVTypes">
  <Template>Normal.dotm</Template>
  <Pages>57</Pages>
  <Words>4797</Words>
  <Characters>27349</Characters>
  <Lines>227</Lines>
  <Paragraphs>64</Paragraphs>
  <TotalTime>1</TotalTime>
  <ScaleCrop>false</ScaleCrop>
  <LinksUpToDate>false</LinksUpToDate>
  <CharactersWithSpaces>32082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2024-05-16T02:28:00Z</dcterms:created>
  <dc:creator>Administrator</dc:creator>
  <cp:lastModifiedBy>空白格子</cp:lastModifiedBy>
  <cp:lastPrinted>2023-04-03T07:34:00Z</cp:lastPrinted>
  <dcterms:modified xsi:type="dcterms:W3CDTF">2024-05-16T03:27:42Z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6466676830B045C0B2C13E83C3A0D5EA_12</vt:lpwstr>
  </property>
</Properties>
</file>